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02CA" w14:textId="77777777" w:rsidR="007A7E30" w:rsidRPr="000F0AAF" w:rsidRDefault="007A7E30" w:rsidP="007A7E30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  <w:r w:rsidRPr="000F0AAF">
        <w:rPr>
          <w:b/>
          <w:bCs/>
        </w:rPr>
        <w:t>New Mexico Regional Water Planning</w:t>
      </w:r>
    </w:p>
    <w:p w14:paraId="1133EE0E" w14:textId="77777777" w:rsidR="007A7E30" w:rsidRPr="000F0AAF" w:rsidRDefault="007A7E30" w:rsidP="007A7E30">
      <w:pPr>
        <w:pStyle w:val="NormalWeb"/>
        <w:widowControl w:val="0"/>
        <w:spacing w:before="0" w:beforeAutospacing="0" w:after="0" w:afterAutospacing="0"/>
        <w:jc w:val="center"/>
        <w:rPr>
          <w:b/>
          <w:bCs/>
        </w:rPr>
      </w:pPr>
      <w:r w:rsidRPr="000F0AAF">
        <w:rPr>
          <w:b/>
          <w:bCs/>
        </w:rPr>
        <w:t xml:space="preserve">Governance Study Group </w:t>
      </w:r>
    </w:p>
    <w:p w14:paraId="10404D81" w14:textId="77777777" w:rsidR="007A7E30" w:rsidRPr="000F0AAF" w:rsidRDefault="007A7E30" w:rsidP="007A7E30">
      <w:pPr>
        <w:pStyle w:val="NormalWeb"/>
        <w:widowControl w:val="0"/>
        <w:spacing w:before="0" w:beforeAutospacing="0" w:after="0" w:afterAutospacing="0"/>
        <w:jc w:val="center"/>
      </w:pPr>
      <w:r w:rsidRPr="000F0AAF">
        <w:rPr>
          <w:b/>
          <w:bCs/>
        </w:rPr>
        <w:t>Issue Paper</w:t>
      </w:r>
    </w:p>
    <w:p w14:paraId="0DEA0D1B" w14:textId="77777777" w:rsidR="007A7E30" w:rsidRPr="000F0AAF" w:rsidRDefault="007A7E30" w:rsidP="007A7E30">
      <w:pPr>
        <w:pStyle w:val="NormalWeb"/>
        <w:widowControl w:val="0"/>
        <w:spacing w:before="0" w:beforeAutospacing="0" w:after="0" w:afterAutospacing="0"/>
        <w:jc w:val="center"/>
      </w:pPr>
    </w:p>
    <w:p w14:paraId="670583F9" w14:textId="7ED41EDB" w:rsidR="007A7E30" w:rsidRPr="009F0897" w:rsidRDefault="007A7E30" w:rsidP="007A7E30">
      <w:pPr>
        <w:pStyle w:val="NormalWeb"/>
        <w:widowControl w:val="0"/>
        <w:spacing w:before="0" w:beforeAutospacing="0" w:after="0" w:afterAutospac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Tribal </w:t>
      </w:r>
      <w:r w:rsidRPr="009F0897">
        <w:rPr>
          <w:b/>
          <w:bCs/>
          <w:sz w:val="40"/>
          <w:szCs w:val="40"/>
        </w:rPr>
        <w:t>Participation</w:t>
      </w:r>
      <w:r w:rsidRPr="009F0897">
        <w:rPr>
          <w:bCs/>
          <w:sz w:val="40"/>
          <w:szCs w:val="40"/>
        </w:rPr>
        <w:fldChar w:fldCharType="begin"/>
      </w:r>
      <w:r w:rsidRPr="009F0897">
        <w:rPr>
          <w:sz w:val="40"/>
          <w:szCs w:val="40"/>
        </w:rPr>
        <w:instrText xml:space="preserve"> TC "</w:instrText>
      </w:r>
      <w:bookmarkStart w:id="0" w:name="_Toc434176376"/>
      <w:r w:rsidRPr="009F0897">
        <w:rPr>
          <w:bCs/>
          <w:sz w:val="40"/>
          <w:szCs w:val="40"/>
        </w:rPr>
        <w:instrText>Improving Public Engagement in New Mexico’s Water Planning - Dael Goodman</w:instrText>
      </w:r>
      <w:bookmarkEnd w:id="0"/>
      <w:r w:rsidRPr="009F0897">
        <w:rPr>
          <w:sz w:val="40"/>
          <w:szCs w:val="40"/>
        </w:rPr>
        <w:instrText xml:space="preserve">" \f C \l "1" </w:instrText>
      </w:r>
      <w:r w:rsidRPr="009F0897">
        <w:rPr>
          <w:bCs/>
          <w:sz w:val="40"/>
          <w:szCs w:val="40"/>
        </w:rPr>
        <w:fldChar w:fldCharType="end"/>
      </w:r>
    </w:p>
    <w:p w14:paraId="59A4C604" w14:textId="5FFC20C9" w:rsidR="007A7E30" w:rsidRPr="000F0AAF" w:rsidRDefault="007A7E30" w:rsidP="007A7E30">
      <w:pPr>
        <w:pStyle w:val="NormalWeb"/>
        <w:widowControl w:val="0"/>
        <w:spacing w:before="0" w:beforeAutospacing="0" w:after="0" w:afterAutospacing="0"/>
        <w:jc w:val="center"/>
      </w:pPr>
      <w:r w:rsidRPr="000F0AAF">
        <w:rPr>
          <w:b/>
          <w:bCs/>
        </w:rPr>
        <w:t xml:space="preserve">DRAFT </w:t>
      </w:r>
      <w:r w:rsidR="005F5EFA">
        <w:rPr>
          <w:b/>
          <w:bCs/>
        </w:rPr>
        <w:t>December 4</w:t>
      </w:r>
      <w:r w:rsidRPr="000F0AAF">
        <w:rPr>
          <w:b/>
          <w:bCs/>
        </w:rPr>
        <w:t>, 2015</w:t>
      </w:r>
    </w:p>
    <w:p w14:paraId="56F0B896" w14:textId="77777777" w:rsidR="007A7E30" w:rsidRDefault="007A7E30" w:rsidP="00504037">
      <w:pPr>
        <w:jc w:val="center"/>
        <w:rPr>
          <w:b/>
        </w:rPr>
      </w:pPr>
    </w:p>
    <w:p w14:paraId="693D2A52" w14:textId="5490170F" w:rsidR="00504037" w:rsidRPr="00F171C4" w:rsidRDefault="00504037" w:rsidP="00D8351D">
      <w:pPr>
        <w:rPr>
          <w:u w:val="single"/>
        </w:rPr>
      </w:pPr>
    </w:p>
    <w:p w14:paraId="42E8A36E" w14:textId="3AF65DB7" w:rsidR="00182C68" w:rsidRDefault="00182C68" w:rsidP="00182C68">
      <w:r>
        <w:t>The involvement of</w:t>
      </w:r>
      <w:r w:rsidR="005F59DF">
        <w:t xml:space="preserve"> </w:t>
      </w:r>
      <w:r>
        <w:t>federally-recognized tribes in New Mexico (Pueblos, tribes, and Native nations)</w:t>
      </w:r>
      <w:r w:rsidR="00B60EB1">
        <w:rPr>
          <w:rStyle w:val="FootnoteReference"/>
        </w:rPr>
        <w:footnoteReference w:id="2"/>
      </w:r>
      <w:r w:rsidR="0048415A">
        <w:t xml:space="preserve"> </w:t>
      </w:r>
      <w:r w:rsidR="000F7429">
        <w:t>in regional or state water planning</w:t>
      </w:r>
      <w:r w:rsidR="00E14BB6">
        <w:t xml:space="preserve"> </w:t>
      </w:r>
      <w:r w:rsidR="000F7429">
        <w:t>can benefit the regions, the state, and also the tribes</w:t>
      </w:r>
      <w:r w:rsidR="00AC60D2">
        <w:t xml:space="preserve">, by </w:t>
      </w:r>
      <w:r w:rsidR="00802D8F">
        <w:t xml:space="preserve">establishing </w:t>
      </w:r>
      <w:r w:rsidR="00AC60D2">
        <w:t xml:space="preserve">opportunities for discussion and collaboration.  </w:t>
      </w:r>
      <w:r>
        <w:t xml:space="preserve">This </w:t>
      </w:r>
      <w:r w:rsidR="00E14BB6">
        <w:t xml:space="preserve">coordination can have many positive impacts: it </w:t>
      </w:r>
      <w:r w:rsidR="00802D8F">
        <w:t xml:space="preserve">is </w:t>
      </w:r>
      <w:r w:rsidR="00EF2D0F">
        <w:t xml:space="preserve">essential </w:t>
      </w:r>
      <w:r w:rsidR="00802D8F">
        <w:t xml:space="preserve">for </w:t>
      </w:r>
      <w:r w:rsidR="00802D8F" w:rsidRPr="00062EF4">
        <w:rPr>
          <w:color w:val="000000" w:themeColor="text1"/>
        </w:rPr>
        <w:t xml:space="preserve">cross-jurisdictional </w:t>
      </w:r>
      <w:r w:rsidR="00062EF4" w:rsidRPr="00062EF4">
        <w:rPr>
          <w:color w:val="000000" w:themeColor="text1"/>
        </w:rPr>
        <w:t>or “</w:t>
      </w:r>
      <w:proofErr w:type="spellStart"/>
      <w:r w:rsidR="00062EF4" w:rsidRPr="00062EF4">
        <w:rPr>
          <w:color w:val="000000" w:themeColor="text1"/>
        </w:rPr>
        <w:t>transboundary</w:t>
      </w:r>
      <w:proofErr w:type="spellEnd"/>
      <w:r w:rsidR="00062EF4" w:rsidRPr="00062EF4">
        <w:rPr>
          <w:color w:val="000000" w:themeColor="text1"/>
        </w:rPr>
        <w:t xml:space="preserve">” </w:t>
      </w:r>
      <w:r w:rsidR="00802D8F">
        <w:t xml:space="preserve">projects such as </w:t>
      </w:r>
      <w:r w:rsidR="00EF2D0F">
        <w:t xml:space="preserve">watershed </w:t>
      </w:r>
      <w:r w:rsidR="00802D8F">
        <w:t>restoration</w:t>
      </w:r>
      <w:r w:rsidR="00F62752">
        <w:t xml:space="preserve"> and water quality protection</w:t>
      </w:r>
      <w:r w:rsidR="00E14BB6">
        <w:t>;</w:t>
      </w:r>
      <w:r w:rsidR="00D8351D">
        <w:t xml:space="preserve"> </w:t>
      </w:r>
      <w:r w:rsidR="00E14BB6">
        <w:t xml:space="preserve">it can enhance feasibility and </w:t>
      </w:r>
      <w:r w:rsidR="000A100E">
        <w:t xml:space="preserve">improve funding for </w:t>
      </w:r>
      <w:r w:rsidR="00E14BB6">
        <w:t xml:space="preserve">water infrastructure projects; it </w:t>
      </w:r>
      <w:r w:rsidR="00F62752">
        <w:t xml:space="preserve">may </w:t>
      </w:r>
      <w:r w:rsidR="00D42C91">
        <w:t xml:space="preserve">contribute </w:t>
      </w:r>
      <w:r w:rsidR="00BD5822">
        <w:t xml:space="preserve">multiple </w:t>
      </w:r>
      <w:r w:rsidR="00D42C91">
        <w:t xml:space="preserve">forms of knowledge and </w:t>
      </w:r>
      <w:r w:rsidR="00F62752">
        <w:t>generate creative new ideas</w:t>
      </w:r>
      <w:r w:rsidR="00E14BB6">
        <w:t xml:space="preserve">; it can reduce unpleasant </w:t>
      </w:r>
      <w:r w:rsidR="008916C7">
        <w:t xml:space="preserve">future </w:t>
      </w:r>
      <w:r w:rsidR="00E14BB6">
        <w:t xml:space="preserve">surprises (Innes 1999); and it can enhance the capacity and resilience of governance systems (Inner and </w:t>
      </w:r>
      <w:proofErr w:type="spellStart"/>
      <w:r w:rsidR="00E14BB6">
        <w:t>Booher</w:t>
      </w:r>
      <w:proofErr w:type="spellEnd"/>
      <w:r w:rsidR="00E14BB6">
        <w:t xml:space="preserve"> 2003</w:t>
      </w:r>
      <w:r w:rsidR="00B60EB1">
        <w:t>)</w:t>
      </w:r>
      <w:r w:rsidR="00E14BB6">
        <w:t xml:space="preserve">.  </w:t>
      </w:r>
    </w:p>
    <w:p w14:paraId="34EC2C18" w14:textId="77777777" w:rsidR="00182C68" w:rsidRDefault="00182C68" w:rsidP="00062EF4"/>
    <w:p w14:paraId="36D18C0B" w14:textId="458A9C51" w:rsidR="00182C68" w:rsidRPr="007A7E30" w:rsidRDefault="00182C68" w:rsidP="00062EF4">
      <w:pPr>
        <w:rPr>
          <w:b/>
        </w:rPr>
      </w:pPr>
      <w:r w:rsidRPr="007A7E30">
        <w:rPr>
          <w:b/>
        </w:rPr>
        <w:t>Issues with Tribal Participation in Water Planning</w:t>
      </w:r>
    </w:p>
    <w:p w14:paraId="1FF64390" w14:textId="77777777" w:rsidR="00182C68" w:rsidRDefault="00182C68" w:rsidP="00062EF4"/>
    <w:p w14:paraId="6F17A02D" w14:textId="187602BC" w:rsidR="000A100E" w:rsidRDefault="00182C68" w:rsidP="00867849">
      <w:r>
        <w:t>However, d</w:t>
      </w:r>
      <w:r w:rsidR="00BF613C">
        <w:t xml:space="preserve">espite </w:t>
      </w:r>
      <w:r>
        <w:t xml:space="preserve">these benefits, and </w:t>
      </w:r>
      <w:r w:rsidR="00BF613C">
        <w:t xml:space="preserve">the </w:t>
      </w:r>
      <w:r w:rsidR="000A100E">
        <w:t xml:space="preserve">great </w:t>
      </w:r>
      <w:r w:rsidR="00BF613C">
        <w:t xml:space="preserve">importance of water to tribes, </w:t>
      </w:r>
      <w:r w:rsidR="00E14BB6">
        <w:t xml:space="preserve">some </w:t>
      </w:r>
      <w:r w:rsidR="00BF613C">
        <w:t xml:space="preserve">choose to not </w:t>
      </w:r>
      <w:r w:rsidR="0048415A">
        <w:t>participate in regional and state water planning</w:t>
      </w:r>
      <w:r w:rsidR="00E14BB6">
        <w:t xml:space="preserve"> or </w:t>
      </w:r>
      <w:r w:rsidR="006B49AD">
        <w:t xml:space="preserve">to </w:t>
      </w:r>
      <w:r w:rsidR="00E14BB6">
        <w:t xml:space="preserve">participate on their own terms </w:t>
      </w:r>
      <w:r w:rsidR="00F759CB">
        <w:t xml:space="preserve">(Hausam 2013).  </w:t>
      </w:r>
      <w:r>
        <w:t>As sovereign entities, tribes are not required to participate</w:t>
      </w:r>
      <w:r w:rsidR="000A100E">
        <w:t xml:space="preserve">, and </w:t>
      </w:r>
      <w:r w:rsidR="00AC2BC8">
        <w:t xml:space="preserve">they </w:t>
      </w:r>
      <w:r>
        <w:t xml:space="preserve">may avoid </w:t>
      </w:r>
      <w:r w:rsidR="008916C7">
        <w:t xml:space="preserve">such </w:t>
      </w:r>
      <w:r w:rsidR="0054425E">
        <w:t xml:space="preserve">planning processes for a number of reasons.  </w:t>
      </w:r>
    </w:p>
    <w:p w14:paraId="68CD08CD" w14:textId="77777777" w:rsidR="000A100E" w:rsidRDefault="000A100E" w:rsidP="00867849"/>
    <w:p w14:paraId="4B6B1BA4" w14:textId="423A09BE" w:rsidR="00E14BB6" w:rsidRDefault="0054425E" w:rsidP="00867849">
      <w:r>
        <w:t>P</w:t>
      </w:r>
      <w:r w:rsidR="00F759CB">
        <w:t xml:space="preserve">lans that include multiple jurisdictions, such as regional and state plans, must by necessity </w:t>
      </w:r>
      <w:r w:rsidR="00EE4378">
        <w:t xml:space="preserve">find </w:t>
      </w:r>
      <w:r w:rsidR="00F759CB">
        <w:t>a balance among all participants</w:t>
      </w:r>
      <w:r w:rsidR="00E4430E">
        <w:t>’ interests</w:t>
      </w:r>
      <w:r w:rsidR="00F759CB">
        <w:t xml:space="preserve">.  This </w:t>
      </w:r>
      <w:r w:rsidR="00EE4378">
        <w:t xml:space="preserve">sometimes </w:t>
      </w:r>
      <w:r w:rsidR="00F759CB">
        <w:t>result</w:t>
      </w:r>
      <w:r w:rsidR="00EE4378">
        <w:t>s</w:t>
      </w:r>
      <w:r w:rsidR="00F759CB">
        <w:t xml:space="preserve"> in only cursory mentions of </w:t>
      </w:r>
      <w:r w:rsidR="00B5136E">
        <w:t xml:space="preserve">certain </w:t>
      </w:r>
      <w:r w:rsidR="00DB4DAE">
        <w:t xml:space="preserve">critical </w:t>
      </w:r>
      <w:r w:rsidR="00F759CB">
        <w:t>issues for tribes</w:t>
      </w:r>
      <w:r w:rsidR="00DB4DAE">
        <w:t>:</w:t>
      </w:r>
      <w:r w:rsidR="00F759CB">
        <w:t xml:space="preserve"> </w:t>
      </w:r>
      <w:r w:rsidR="008D7676">
        <w:t>sovereignty,</w:t>
      </w:r>
      <w:r w:rsidR="00F759CB">
        <w:t xml:space="preserve"> </w:t>
      </w:r>
      <w:r w:rsidR="00B5136E">
        <w:t xml:space="preserve">tribal water rights, </w:t>
      </w:r>
      <w:r w:rsidR="000A100E">
        <w:t xml:space="preserve">interconnected natural systems, </w:t>
      </w:r>
      <w:r w:rsidR="00F759CB">
        <w:t xml:space="preserve">and cultural values.  </w:t>
      </w:r>
      <w:r w:rsidR="00E14BB6">
        <w:t xml:space="preserve">Listing tribes as participants in plans that do not truly meet their needs and that they cannot truly endorse </w:t>
      </w:r>
      <w:r w:rsidR="000A100E">
        <w:t xml:space="preserve">could </w:t>
      </w:r>
      <w:r w:rsidR="00E14BB6" w:rsidRPr="00062EF4">
        <w:rPr>
          <w:color w:val="000000" w:themeColor="text1"/>
        </w:rPr>
        <w:t xml:space="preserve">have the effect of co-opting them </w:t>
      </w:r>
      <w:r w:rsidR="00E14BB6">
        <w:t xml:space="preserve">into </w:t>
      </w:r>
      <w:r>
        <w:t xml:space="preserve">agreement (see Amy 1983, </w:t>
      </w:r>
      <w:proofErr w:type="spellStart"/>
      <w:r>
        <w:t>Arnstein</w:t>
      </w:r>
      <w:proofErr w:type="spellEnd"/>
      <w:r>
        <w:t xml:space="preserve"> 1969).</w:t>
      </w:r>
    </w:p>
    <w:p w14:paraId="1A4BC3C0" w14:textId="77777777" w:rsidR="00E14BB6" w:rsidRDefault="00E14BB6" w:rsidP="00867849"/>
    <w:p w14:paraId="083CF113" w14:textId="4DFAD372" w:rsidR="0054425E" w:rsidRDefault="005B1D5A" w:rsidP="00867849">
      <w:r>
        <w:t xml:space="preserve">Tribal participation </w:t>
      </w:r>
      <w:r w:rsidR="00D42C91">
        <w:t xml:space="preserve">often </w:t>
      </w:r>
      <w:r>
        <w:t xml:space="preserve">requires </w:t>
      </w:r>
      <w:r w:rsidR="00D42C91">
        <w:t>more resources than non-tribal participation</w:t>
      </w:r>
      <w:r>
        <w:t xml:space="preserve">.  Tribal water planning cannot be completely separated from tribal water rights, so attorneys </w:t>
      </w:r>
      <w:r w:rsidR="0054425E">
        <w:t xml:space="preserve">are typically </w:t>
      </w:r>
      <w:r>
        <w:t xml:space="preserve">involved.  </w:t>
      </w:r>
      <w:r w:rsidR="0054425E">
        <w:t xml:space="preserve">Other </w:t>
      </w:r>
      <w:r w:rsidR="00E4430E">
        <w:t xml:space="preserve">tribal participants </w:t>
      </w:r>
      <w:r w:rsidR="00D8351D">
        <w:t xml:space="preserve">must weigh the time and </w:t>
      </w:r>
      <w:r w:rsidR="00D42C91">
        <w:t xml:space="preserve">energy </w:t>
      </w:r>
      <w:r w:rsidR="00D8351D">
        <w:t xml:space="preserve">required </w:t>
      </w:r>
      <w:r w:rsidR="007A41ED">
        <w:t xml:space="preserve">for water planning </w:t>
      </w:r>
      <w:r w:rsidR="00D8351D">
        <w:t xml:space="preserve">against </w:t>
      </w:r>
      <w:r w:rsidR="007427A6">
        <w:t xml:space="preserve">multiple </w:t>
      </w:r>
      <w:r w:rsidR="00D8351D">
        <w:t>other priorities.</w:t>
      </w:r>
      <w:r w:rsidR="007A41ED">
        <w:t xml:space="preserve">  </w:t>
      </w:r>
      <w:r w:rsidR="00D42C91">
        <w:t xml:space="preserve">Persistence </w:t>
      </w:r>
      <w:r w:rsidR="007427A6">
        <w:t xml:space="preserve">is </w:t>
      </w:r>
      <w:r w:rsidR="008D7676">
        <w:t xml:space="preserve">often </w:t>
      </w:r>
      <w:r w:rsidR="00D42C91">
        <w:t xml:space="preserve">needed </w:t>
      </w:r>
      <w:r w:rsidR="00D14BBE">
        <w:t xml:space="preserve">to be recognized as </w:t>
      </w:r>
      <w:r w:rsidR="00EE4378">
        <w:t xml:space="preserve">not being a </w:t>
      </w:r>
      <w:r w:rsidR="00D14BBE">
        <w:t>“local government” (a subdivision of the state; see Dolan and Middleton 2015, 396)</w:t>
      </w:r>
      <w:r w:rsidR="0054425E">
        <w:t>;</w:t>
      </w:r>
      <w:r w:rsidR="00D14BBE">
        <w:t xml:space="preserve"> to </w:t>
      </w:r>
      <w:r w:rsidR="00E4430E">
        <w:t>gain seat</w:t>
      </w:r>
      <w:r w:rsidR="00D14BBE">
        <w:t xml:space="preserve">s at the table for each </w:t>
      </w:r>
      <w:r w:rsidR="0054425E">
        <w:t xml:space="preserve">unique </w:t>
      </w:r>
      <w:r w:rsidR="00D14BBE">
        <w:t>tribal government</w:t>
      </w:r>
      <w:r w:rsidR="0054425E">
        <w:t>;</w:t>
      </w:r>
      <w:r w:rsidR="00E268E2">
        <w:t xml:space="preserve"> </w:t>
      </w:r>
      <w:r w:rsidR="00D14BBE">
        <w:t xml:space="preserve">and then to shoehorn tribal perspectives into </w:t>
      </w:r>
      <w:r w:rsidR="0054425E">
        <w:t>models that do not automatically recognize them.  More time is needed to travel to meetings off tribal lands.</w:t>
      </w:r>
    </w:p>
    <w:p w14:paraId="7C5169BB" w14:textId="77777777" w:rsidR="0054425E" w:rsidRDefault="0054425E" w:rsidP="00867849"/>
    <w:p w14:paraId="280F44FF" w14:textId="77777777" w:rsidR="00DB4DAE" w:rsidRDefault="00E268E2" w:rsidP="00DB4DAE">
      <w:r>
        <w:t>In some cases, participation may require compromises that tribes are unwilling to make</w:t>
      </w:r>
      <w:r w:rsidR="00D14BBE">
        <w:t>, such as s</w:t>
      </w:r>
      <w:r w:rsidR="0054425E">
        <w:t xml:space="preserve">igning formal agreements.  </w:t>
      </w:r>
      <w:r w:rsidR="00D14BBE">
        <w:t xml:space="preserve">In California, some tribes have been required to sign agreements that require partial waivers of sovereign immunity in order to participate in regional water planning </w:t>
      </w:r>
      <w:r w:rsidR="00DB4DAE">
        <w:lastRenderedPageBreak/>
        <w:t xml:space="preserve">(Dolan and Middleton </w:t>
      </w:r>
      <w:r w:rsidR="00D14BBE">
        <w:t xml:space="preserve">2015, </w:t>
      </w:r>
      <w:r w:rsidR="00DB4DAE">
        <w:t>363)</w:t>
      </w:r>
      <w:r w:rsidR="00D14BBE">
        <w:t>.</w:t>
      </w:r>
      <w:r w:rsidR="0054425E">
        <w:t xml:space="preserve">  In New Mexico, some tribes have been unwilling to </w:t>
      </w:r>
      <w:r w:rsidR="008916C7">
        <w:t xml:space="preserve">join </w:t>
      </w:r>
      <w:r w:rsidR="0054425E">
        <w:t>another type of regional planning organization because its bylaws require sharing planning documents, which for tribes are proprietary, not public, information</w:t>
      </w:r>
      <w:r w:rsidR="008916C7">
        <w:t xml:space="preserve"> (Hausam, pers. </w:t>
      </w:r>
      <w:proofErr w:type="spellStart"/>
      <w:r w:rsidR="008916C7">
        <w:t>obsv</w:t>
      </w:r>
      <w:proofErr w:type="spellEnd"/>
      <w:r w:rsidR="008916C7">
        <w:t>.)</w:t>
      </w:r>
      <w:r w:rsidR="0054425E">
        <w:t xml:space="preserve">.  </w:t>
      </w:r>
    </w:p>
    <w:p w14:paraId="46A5FFE0" w14:textId="77777777" w:rsidR="00DB4DAE" w:rsidRDefault="00DB4DAE" w:rsidP="00867849"/>
    <w:p w14:paraId="482C1750" w14:textId="77777777" w:rsidR="00E4430E" w:rsidRDefault="00E4430E" w:rsidP="00867849">
      <w:r>
        <w:t xml:space="preserve">All participants must believe that planning will lead to meaningful results in order to remain </w:t>
      </w:r>
      <w:r w:rsidR="008D7676">
        <w:t xml:space="preserve">engaged with </w:t>
      </w:r>
      <w:r>
        <w:t xml:space="preserve">the process.  </w:t>
      </w:r>
      <w:r w:rsidR="008D7676">
        <w:t>Yet t</w:t>
      </w:r>
      <w:r>
        <w:t xml:space="preserve">ribes have </w:t>
      </w:r>
      <w:r w:rsidR="00EE4378">
        <w:t xml:space="preserve">many </w:t>
      </w:r>
      <w:r>
        <w:t>reasons to be pessimistic about state-driven p</w:t>
      </w:r>
      <w:r w:rsidR="00151A04">
        <w:t xml:space="preserve">rocesses such as water planning (see, e.g., </w:t>
      </w:r>
      <w:proofErr w:type="spellStart"/>
      <w:r w:rsidR="00151A04">
        <w:t>Wondolleck</w:t>
      </w:r>
      <w:proofErr w:type="spellEnd"/>
      <w:r w:rsidR="00151A04">
        <w:t xml:space="preserve"> and </w:t>
      </w:r>
      <w:proofErr w:type="spellStart"/>
      <w:r w:rsidR="00151A04">
        <w:t>Yaffee</w:t>
      </w:r>
      <w:proofErr w:type="spellEnd"/>
      <w:r w:rsidR="00151A04">
        <w:t xml:space="preserve"> 2000):</w:t>
      </w:r>
    </w:p>
    <w:p w14:paraId="70495E68" w14:textId="77777777" w:rsidR="007427A6" w:rsidRDefault="008034AB" w:rsidP="00867849">
      <w:r>
        <w:t xml:space="preserve">- </w:t>
      </w:r>
      <w:r w:rsidR="007427A6">
        <w:t>Histories with non-</w:t>
      </w:r>
      <w:r w:rsidR="00DB4DAE">
        <w:t>n</w:t>
      </w:r>
      <w:r w:rsidR="007427A6">
        <w:t>atives</w:t>
      </w:r>
      <w:r w:rsidR="008D7676">
        <w:t xml:space="preserve"> that include </w:t>
      </w:r>
      <w:r w:rsidR="007427A6">
        <w:t>losses of land, water, culture, and lives</w:t>
      </w:r>
    </w:p>
    <w:p w14:paraId="3FB5D3C5" w14:textId="77777777" w:rsidR="007427A6" w:rsidRDefault="008034AB" w:rsidP="00867849">
      <w:r>
        <w:t xml:space="preserve">- </w:t>
      </w:r>
      <w:r w:rsidR="007427A6">
        <w:t xml:space="preserve">Ongoing losses of “wet water” while “paper water” remains </w:t>
      </w:r>
      <w:proofErr w:type="spellStart"/>
      <w:r w:rsidR="007427A6">
        <w:t>unadjudicated</w:t>
      </w:r>
      <w:proofErr w:type="spellEnd"/>
    </w:p>
    <w:p w14:paraId="043B3568" w14:textId="530D79FC" w:rsidR="007427A6" w:rsidRDefault="23974B96" w:rsidP="00867849">
      <w:r>
        <w:t xml:space="preserve">- The current New Mexico political climate, </w:t>
      </w:r>
      <w:r w:rsidRPr="00062EF4">
        <w:rPr>
          <w:color w:val="000000" w:themeColor="text1"/>
        </w:rPr>
        <w:t xml:space="preserve">which some </w:t>
      </w:r>
      <w:r w:rsidR="00062EF4" w:rsidRPr="00062EF4">
        <w:rPr>
          <w:color w:val="000000" w:themeColor="text1"/>
        </w:rPr>
        <w:t xml:space="preserve">perceive </w:t>
      </w:r>
      <w:r w:rsidRPr="00062EF4">
        <w:rPr>
          <w:color w:val="000000" w:themeColor="text1"/>
        </w:rPr>
        <w:t xml:space="preserve">to be </w:t>
      </w:r>
      <w:r>
        <w:t>unsupportive of tribes</w:t>
      </w:r>
    </w:p>
    <w:p w14:paraId="1EB65550" w14:textId="77777777" w:rsidR="0054425E" w:rsidRDefault="0054425E" w:rsidP="00867849">
      <w:r>
        <w:t>- Alternative</w:t>
      </w:r>
      <w:r w:rsidR="00151A04">
        <w:t>s</w:t>
      </w:r>
      <w:r>
        <w:t xml:space="preserve"> independent of </w:t>
      </w:r>
      <w:r w:rsidR="00151A04">
        <w:t xml:space="preserve">the </w:t>
      </w:r>
      <w:r>
        <w:t>state, working direc</w:t>
      </w:r>
      <w:r w:rsidR="00151A04">
        <w:t>tly with the federal government</w:t>
      </w:r>
    </w:p>
    <w:p w14:paraId="2637DEDD" w14:textId="2A8EAA69" w:rsidR="007427A6" w:rsidRDefault="008034AB" w:rsidP="00867849">
      <w:r>
        <w:t xml:space="preserve">- </w:t>
      </w:r>
      <w:r w:rsidR="007427A6">
        <w:t xml:space="preserve">Limited </w:t>
      </w:r>
      <w:r w:rsidR="008D7676">
        <w:t xml:space="preserve">state </w:t>
      </w:r>
      <w:r w:rsidR="007427A6">
        <w:t>implementation of water plans</w:t>
      </w:r>
      <w:r w:rsidR="00151A04">
        <w:t xml:space="preserve"> in the form of projects, programs, and policies</w:t>
      </w:r>
      <w:r w:rsidR="008B160E">
        <w:t>,</w:t>
      </w:r>
      <w:r w:rsidR="00151A04">
        <w:t xml:space="preserve"> </w:t>
      </w:r>
      <w:r w:rsidR="008B160E">
        <w:t xml:space="preserve">particularly those </w:t>
      </w:r>
      <w:r w:rsidR="00151A04">
        <w:t xml:space="preserve">that </w:t>
      </w:r>
      <w:r w:rsidR="008916C7">
        <w:t>benefit tribes</w:t>
      </w:r>
      <w:r w:rsidR="008916C7">
        <w:rPr>
          <w:rStyle w:val="FootnoteReference"/>
        </w:rPr>
        <w:footnoteReference w:id="3"/>
      </w:r>
    </w:p>
    <w:p w14:paraId="5FD61A7B" w14:textId="77777777" w:rsidR="0054425E" w:rsidRDefault="0054425E" w:rsidP="006C5863"/>
    <w:p w14:paraId="7C57C805" w14:textId="77777777" w:rsidR="008D7676" w:rsidRPr="007A7E30" w:rsidRDefault="008D7676" w:rsidP="006C5863">
      <w:pPr>
        <w:rPr>
          <w:b/>
        </w:rPr>
      </w:pPr>
      <w:r w:rsidRPr="007A7E30">
        <w:rPr>
          <w:b/>
        </w:rPr>
        <w:t xml:space="preserve">Successful </w:t>
      </w:r>
      <w:r w:rsidR="003E5B09" w:rsidRPr="007A7E30">
        <w:rPr>
          <w:b/>
        </w:rPr>
        <w:t>Efforts</w:t>
      </w:r>
    </w:p>
    <w:p w14:paraId="570A9E65" w14:textId="77777777" w:rsidR="008D7676" w:rsidRDefault="008D7676" w:rsidP="006C5863"/>
    <w:p w14:paraId="12ADDFBA" w14:textId="4432C77F" w:rsidR="00CD6C0A" w:rsidRDefault="001739A2" w:rsidP="006C5863">
      <w:r>
        <w:t xml:space="preserve">Despite </w:t>
      </w:r>
      <w:r w:rsidR="00F774B6">
        <w:t xml:space="preserve">these challenges, there are examples of successful </w:t>
      </w:r>
      <w:r w:rsidR="008916C7">
        <w:t xml:space="preserve">coordination with tribes on water projects and policies.  </w:t>
      </w:r>
      <w:r w:rsidR="00CD6C0A">
        <w:t xml:space="preserve">A recent assessment of Integrated Regional Water Management in California </w:t>
      </w:r>
      <w:r w:rsidR="00151A04">
        <w:t xml:space="preserve">found </w:t>
      </w:r>
      <w:r w:rsidR="008916C7">
        <w:t xml:space="preserve">that one </w:t>
      </w:r>
      <w:r w:rsidR="006A3DD9">
        <w:t xml:space="preserve">participating </w:t>
      </w:r>
      <w:r w:rsidR="00D42C91">
        <w:t xml:space="preserve">tribe </w:t>
      </w:r>
      <w:r w:rsidR="006A3DD9">
        <w:t>made a voluntary water transfer to a non-tribal utility district, founded on a long-standing relationship of mutual respect based in other projects</w:t>
      </w:r>
      <w:r w:rsidR="008916C7">
        <w:t xml:space="preserve">.  The transfer occurred through a Regional Water Management Group, but the </w:t>
      </w:r>
      <w:r w:rsidR="006A3DD9">
        <w:t>authors note</w:t>
      </w:r>
      <w:r w:rsidR="00DC6C7C">
        <w:t xml:space="preserve"> that</w:t>
      </w:r>
      <w:r w:rsidR="006A3DD9">
        <w:t xml:space="preserve"> “without that foundation, the water transfer and the limited waiver of sovereign immunity would never have succeeded” (Dolan and Middleton 2015, 395).</w:t>
      </w:r>
    </w:p>
    <w:p w14:paraId="1097A50F" w14:textId="77777777" w:rsidR="006A3DD9" w:rsidRDefault="006A3DD9" w:rsidP="006C5863"/>
    <w:p w14:paraId="1F458CDB" w14:textId="512881DA" w:rsidR="00F010E3" w:rsidRDefault="23974B96" w:rsidP="006C5863">
      <w:r>
        <w:t xml:space="preserve">In New Mexico, over forty years of tribal and non-tribal effort and negotiation have resulted in an </w:t>
      </w:r>
      <w:r w:rsidRPr="00062EF4">
        <w:rPr>
          <w:color w:val="000000" w:themeColor="text1"/>
        </w:rPr>
        <w:t>agreement and commitments by federal, state</w:t>
      </w:r>
      <w:r w:rsidR="00D42C91">
        <w:rPr>
          <w:color w:val="000000" w:themeColor="text1"/>
        </w:rPr>
        <w:t>,</w:t>
      </w:r>
      <w:r w:rsidRPr="00062EF4">
        <w:rPr>
          <w:color w:val="000000" w:themeColor="text1"/>
        </w:rPr>
        <w:t xml:space="preserve"> and municipal government to fund construction of </w:t>
      </w:r>
      <w:r>
        <w:t>the Navajo-Gallup Water Supply Project.  Tribal and non-tribal parties along the Rio Jemez acknowledged their interwoven histories and interdependence and worked together to create a shortage-sharing agreement among the Pueblos of Zia and Jemez and the Jemez River Basin Water Users’ Association (Robert 1996).</w:t>
      </w:r>
      <w:r w:rsidR="005F5EFA">
        <w:t xml:space="preserve">  Most recently, the Pueblo of Sandia donated 100 acre-feet of water to support the Middle Rio Grande’s stream flow, “in hopes it can be example of what can be done when people work together” (Associated Press 2015).</w:t>
      </w:r>
    </w:p>
    <w:p w14:paraId="3FE08B89" w14:textId="77777777" w:rsidR="005F5EFA" w:rsidRDefault="005F5EFA" w:rsidP="006C5863"/>
    <w:p w14:paraId="6357AECF" w14:textId="2C504D4D" w:rsidR="00D80A7E" w:rsidRPr="00C9552E" w:rsidRDefault="008916C7" w:rsidP="008916C7">
      <w:pPr>
        <w:rPr>
          <w:rFonts w:cs="Times New Roman"/>
          <w:szCs w:val="24"/>
        </w:rPr>
      </w:pPr>
      <w:r w:rsidRPr="00C9552E">
        <w:rPr>
          <w:rFonts w:cs="Times New Roman"/>
          <w:szCs w:val="24"/>
        </w:rPr>
        <w:t>There are also examples of successful approaches to tribal participation in New Mexico’s regional water planning</w:t>
      </w:r>
      <w:r w:rsidR="00636456" w:rsidRPr="00C9552E">
        <w:rPr>
          <w:rFonts w:cs="Times New Roman"/>
          <w:szCs w:val="24"/>
        </w:rPr>
        <w:t xml:space="preserve">, as </w:t>
      </w:r>
      <w:r w:rsidR="00C9552E">
        <w:rPr>
          <w:rFonts w:cs="Times New Roman"/>
          <w:szCs w:val="24"/>
        </w:rPr>
        <w:t xml:space="preserve">directed by </w:t>
      </w:r>
      <w:r w:rsidR="00636456" w:rsidRPr="00C9552E">
        <w:rPr>
          <w:rFonts w:cs="Times New Roman"/>
          <w:szCs w:val="24"/>
        </w:rPr>
        <w:t xml:space="preserve">state law </w:t>
      </w:r>
      <w:r w:rsidR="00C9552E">
        <w:rPr>
          <w:rFonts w:cs="Times New Roman"/>
          <w:szCs w:val="24"/>
        </w:rPr>
        <w:t>(</w:t>
      </w:r>
      <w:r w:rsidR="00C9552E" w:rsidRPr="00C9552E">
        <w:rPr>
          <w:rFonts w:cs="Times New Roman"/>
          <w:color w:val="51472B"/>
          <w:szCs w:val="24"/>
        </w:rPr>
        <w:t>N.M. Stat. Ann. §72-14-44.C(2)</w:t>
      </w:r>
      <w:r w:rsidR="00C9552E">
        <w:rPr>
          <w:rFonts w:cs="Times New Roman"/>
          <w:color w:val="51472B"/>
          <w:szCs w:val="24"/>
        </w:rPr>
        <w:t>)</w:t>
      </w:r>
      <w:r w:rsidR="00C9552E" w:rsidRPr="00C9552E">
        <w:rPr>
          <w:rFonts w:cs="Times New Roman"/>
          <w:color w:val="51472B"/>
          <w:szCs w:val="24"/>
        </w:rPr>
        <w:t>.</w:t>
      </w:r>
      <w:r w:rsidR="00D80A7E" w:rsidRPr="00C9552E">
        <w:rPr>
          <w:rFonts w:cs="Times New Roman"/>
          <w:szCs w:val="24"/>
        </w:rPr>
        <w:t xml:space="preserve"> </w:t>
      </w:r>
      <w:r w:rsidRPr="00C9552E">
        <w:rPr>
          <w:rFonts w:cs="Times New Roman"/>
          <w:szCs w:val="24"/>
        </w:rPr>
        <w:t>In the Northwest New Mexico and Jemez y Sangre planning processes conducted in the late 1990s, tribes were involved as “observers,” allowing them to discuss important issues without committing to the final plan</w:t>
      </w:r>
      <w:r w:rsidR="00886305" w:rsidRPr="00C9552E">
        <w:rPr>
          <w:rFonts w:cs="Times New Roman"/>
          <w:szCs w:val="24"/>
        </w:rPr>
        <w:t xml:space="preserve"> (Hausam 2013)</w:t>
      </w:r>
      <w:r w:rsidRPr="00C9552E">
        <w:rPr>
          <w:rFonts w:cs="Times New Roman"/>
          <w:szCs w:val="24"/>
        </w:rPr>
        <w:t xml:space="preserve">.  Northwest New Mexico also created a technical committee that included tribal hydrologists and other specialists.  </w:t>
      </w:r>
    </w:p>
    <w:p w14:paraId="0B3ABFBE" w14:textId="77777777" w:rsidR="00D80A7E" w:rsidRPr="00C9552E" w:rsidRDefault="00D80A7E" w:rsidP="008916C7">
      <w:pPr>
        <w:rPr>
          <w:rFonts w:cs="Times New Roman"/>
          <w:szCs w:val="24"/>
        </w:rPr>
      </w:pPr>
    </w:p>
    <w:p w14:paraId="51F2D119" w14:textId="1977A155" w:rsidR="00D80A7E" w:rsidRPr="00D9549B" w:rsidRDefault="00D80A7E" w:rsidP="00D80A7E">
      <w:r>
        <w:t xml:space="preserve">The </w:t>
      </w:r>
      <w:r w:rsidR="00C9552E">
        <w:t xml:space="preserve">New Mexico </w:t>
      </w:r>
      <w:r>
        <w:t xml:space="preserve">state water plan also requires “(1) coordination or integration of the water plans </w:t>
      </w:r>
      <w:r>
        <w:rPr>
          <w:rStyle w:val="statutes"/>
        </w:rPr>
        <w:t xml:space="preserve">of Indian nations, tribes and pueblos located wholly or partially within New Mexico with the state water plan; and (2) final adjudication or settlement of all water rights claims by Indian </w:t>
      </w:r>
      <w:r>
        <w:rPr>
          <w:rStyle w:val="statutes"/>
        </w:rPr>
        <w:lastRenderedPageBreak/>
        <w:t>nations, tribes and pueblos located wholly or partially within New Mexico (</w:t>
      </w:r>
      <w:r w:rsidRPr="006A565D">
        <w:t>N.M. Stat. Ann. §</w:t>
      </w:r>
      <w:r w:rsidRPr="00D9549B">
        <w:rPr>
          <w:rStyle w:val="catchline"/>
        </w:rPr>
        <w:t>72-14-3.1</w:t>
      </w:r>
      <w:r w:rsidR="003D2CDC">
        <w:rPr>
          <w:rStyle w:val="catchline"/>
        </w:rPr>
        <w:t>.E</w:t>
      </w:r>
      <w:r>
        <w:rPr>
          <w:rStyle w:val="catchline"/>
        </w:rPr>
        <w:t>)</w:t>
      </w:r>
      <w:r w:rsidRPr="00D9549B">
        <w:rPr>
          <w:rStyle w:val="catchline"/>
        </w:rPr>
        <w:t xml:space="preserve">. </w:t>
      </w:r>
      <w:r w:rsidRPr="00D9549B">
        <w:t> </w:t>
      </w:r>
    </w:p>
    <w:p w14:paraId="2C3649BF" w14:textId="77777777" w:rsidR="006A3DD9" w:rsidRDefault="006A3DD9" w:rsidP="006A3DD9"/>
    <w:p w14:paraId="03D65E78" w14:textId="77777777" w:rsidR="00D80A7E" w:rsidRDefault="00D80A7E" w:rsidP="006A3DD9"/>
    <w:p w14:paraId="3561065A" w14:textId="45103423" w:rsidR="0081316F" w:rsidRDefault="0081316F" w:rsidP="006C5863">
      <w:r>
        <w:t xml:space="preserve">There is a body of literature on successful collaboration (sometimes under the headings of collaborative planning, conflict resolution, and co-management) (see, e.g., Innes 1994), with some attention to </w:t>
      </w:r>
      <w:r w:rsidR="00B60EB1">
        <w:t xml:space="preserve">tribal participation. </w:t>
      </w:r>
      <w:r>
        <w:t xml:space="preserve">The role of planners </w:t>
      </w:r>
      <w:r w:rsidR="00886305">
        <w:t xml:space="preserve">in improving collaboration </w:t>
      </w:r>
      <w:r w:rsidR="00BD3A01">
        <w:t xml:space="preserve">includes defining and structuring the planning process, framing issues, helping a group develop ground rules, gathering information and managing data, and helping a group reach agreement on the final plan.  Planners can and should consider facilitating tribal involvement as part of their work (Hausam 2006).  The </w:t>
      </w:r>
      <w:r w:rsidR="00886305">
        <w:t xml:space="preserve">state’s responsibility is </w:t>
      </w:r>
      <w:r w:rsidR="00BD3A01">
        <w:t xml:space="preserve">to fulfill its government-to-government </w:t>
      </w:r>
      <w:r w:rsidR="00D13AD8">
        <w:t xml:space="preserve">relationship </w:t>
      </w:r>
      <w:r w:rsidR="00886305">
        <w:t xml:space="preserve">through </w:t>
      </w:r>
      <w:r w:rsidR="00BD3A01">
        <w:t>consultation with tribes.  States can also play critical role</w:t>
      </w:r>
      <w:r w:rsidR="00B60EB1">
        <w:t xml:space="preserve">s in </w:t>
      </w:r>
      <w:r w:rsidR="00886305">
        <w:t xml:space="preserve">defining the structure of </w:t>
      </w:r>
      <w:r w:rsidR="00B60EB1">
        <w:t xml:space="preserve">planning processes </w:t>
      </w:r>
      <w:r w:rsidR="00886305">
        <w:t xml:space="preserve">and framework for planning documents, </w:t>
      </w:r>
      <w:r w:rsidR="00B60EB1">
        <w:t xml:space="preserve">and in </w:t>
      </w:r>
      <w:r w:rsidR="00BD3A01">
        <w:t>preventing local or regional relationships, whether current</w:t>
      </w:r>
      <w:r w:rsidR="00B60EB1">
        <w:t>ly</w:t>
      </w:r>
      <w:r w:rsidR="00BD3A01">
        <w:t xml:space="preserve"> absent or adversarial, from precluding tribal participation (Dolan and Middleton 2015; also see Lane and Corbett 2005).</w:t>
      </w:r>
    </w:p>
    <w:p w14:paraId="14EAF355" w14:textId="77777777" w:rsidR="00BD3A01" w:rsidRDefault="00BD3A01" w:rsidP="006C5863"/>
    <w:p w14:paraId="13DD7492" w14:textId="77777777" w:rsidR="00354ECF" w:rsidRPr="007A7E30" w:rsidRDefault="00354ECF" w:rsidP="00867849">
      <w:pPr>
        <w:rPr>
          <w:b/>
        </w:rPr>
      </w:pPr>
      <w:r w:rsidRPr="007A7E30">
        <w:rPr>
          <w:b/>
        </w:rPr>
        <w:t>Suggested Improvements</w:t>
      </w:r>
    </w:p>
    <w:p w14:paraId="62492693" w14:textId="77777777" w:rsidR="00354ECF" w:rsidRDefault="00354ECF" w:rsidP="00867849"/>
    <w:p w14:paraId="7F6D2C29" w14:textId="6B1C3969" w:rsidR="00354ECF" w:rsidRDefault="001739A2" w:rsidP="00867849">
      <w:r>
        <w:t xml:space="preserve">We recommend that the </w:t>
      </w:r>
      <w:r w:rsidR="00D42C91">
        <w:t>S</w:t>
      </w:r>
      <w:r>
        <w:t xml:space="preserve">tate </w:t>
      </w:r>
      <w:r w:rsidR="00D42C91">
        <w:t xml:space="preserve">of New Mexico </w:t>
      </w:r>
      <w:r>
        <w:t xml:space="preserve">take action to improve opportunities for </w:t>
      </w:r>
      <w:r w:rsidR="00EF2D0F">
        <w:t xml:space="preserve">tribal </w:t>
      </w:r>
      <w:r>
        <w:t>participation.</w:t>
      </w:r>
    </w:p>
    <w:p w14:paraId="5FB3FA10" w14:textId="77777777" w:rsidR="001739A2" w:rsidRDefault="001739A2" w:rsidP="00867849"/>
    <w:p w14:paraId="2887F65D" w14:textId="2E571904" w:rsidR="001739A2" w:rsidRDefault="001739A2" w:rsidP="00867849">
      <w:r>
        <w:t xml:space="preserve">The first step in this effort </w:t>
      </w:r>
      <w:r w:rsidR="00EF2D0F">
        <w:t xml:space="preserve">must </w:t>
      </w:r>
      <w:r>
        <w:t xml:space="preserve">be </w:t>
      </w:r>
      <w:r w:rsidR="00EE4378">
        <w:t xml:space="preserve">meaningful </w:t>
      </w:r>
      <w:r>
        <w:t>consult</w:t>
      </w:r>
      <w:r w:rsidR="00EE4378">
        <w:t>ation</w:t>
      </w:r>
      <w:r>
        <w:t xml:space="preserve"> with tribal governments under the New Mexico State-Tribal </w:t>
      </w:r>
      <w:r w:rsidR="004D4C6E">
        <w:t xml:space="preserve">Collaboration </w:t>
      </w:r>
      <w:r>
        <w:t xml:space="preserve">Act.  This consultation should include an explicit discussion of improvements </w:t>
      </w:r>
      <w:r w:rsidR="00731443">
        <w:t xml:space="preserve">that might </w:t>
      </w:r>
      <w:r>
        <w:t xml:space="preserve">support </w:t>
      </w:r>
      <w:r w:rsidR="00731443">
        <w:t xml:space="preserve">tribal </w:t>
      </w:r>
      <w:r>
        <w:t>participation</w:t>
      </w:r>
      <w:r w:rsidR="00B60EB1">
        <w:t xml:space="preserve"> in regional water planning</w:t>
      </w:r>
      <w:r>
        <w:t>.  Some opportunities for discussion might include:</w:t>
      </w:r>
    </w:p>
    <w:p w14:paraId="20D6FF77" w14:textId="77777777" w:rsidR="00354ECF" w:rsidRDefault="00354ECF" w:rsidP="00867849"/>
    <w:p w14:paraId="50EE02D1" w14:textId="3809027C" w:rsidR="00B60EB1" w:rsidRDefault="00B60EB1" w:rsidP="007A7E30">
      <w:pPr>
        <w:pStyle w:val="ListParagraph"/>
        <w:numPr>
          <w:ilvl w:val="0"/>
          <w:numId w:val="4"/>
        </w:numPr>
      </w:pPr>
      <w:r>
        <w:t xml:space="preserve">Creating a new </w:t>
      </w:r>
      <w:r w:rsidR="000A100E">
        <w:t xml:space="preserve">form of </w:t>
      </w:r>
      <w:r>
        <w:t xml:space="preserve">tribal representation on water planning committees, mandatory in each region with tribes.  For example, there could be an open “observer” seat for each tribe within a water planning region, similar to an “ex </w:t>
      </w:r>
      <w:proofErr w:type="spellStart"/>
      <w:r>
        <w:t>oficio</w:t>
      </w:r>
      <w:proofErr w:type="spellEnd"/>
      <w:r>
        <w:t>” seat</w:t>
      </w:r>
      <w:r w:rsidR="00AC2BC8">
        <w:t xml:space="preserve"> but with the ability to vote if desired</w:t>
      </w:r>
      <w:r>
        <w:t xml:space="preserve">.  </w:t>
      </w:r>
    </w:p>
    <w:p w14:paraId="3B566352" w14:textId="43749E65" w:rsidR="00C1536A" w:rsidRDefault="006C2FD4" w:rsidP="007A7E30">
      <w:pPr>
        <w:pStyle w:val="ListParagraph"/>
        <w:numPr>
          <w:ilvl w:val="0"/>
          <w:numId w:val="4"/>
        </w:numPr>
      </w:pPr>
      <w:r>
        <w:t>Design</w:t>
      </w:r>
      <w:r w:rsidR="00B60EB1">
        <w:t>ing</w:t>
      </w:r>
      <w:r>
        <w:t xml:space="preserve"> </w:t>
      </w:r>
      <w:r w:rsidR="00C1536A">
        <w:t xml:space="preserve">water planning processes with opportunities to build relationships over time.  This </w:t>
      </w:r>
      <w:r w:rsidR="008034AB">
        <w:t xml:space="preserve">could </w:t>
      </w:r>
      <w:r w:rsidR="00C1536A">
        <w:t xml:space="preserve">include </w:t>
      </w:r>
      <w:r>
        <w:t xml:space="preserve">longer time to complete water plans, more opportunities during meetings to engage in dialogue, </w:t>
      </w:r>
      <w:r w:rsidR="00BC0BE1">
        <w:t xml:space="preserve">education about tribal and other values for water </w:t>
      </w:r>
      <w:r w:rsidR="00731443">
        <w:t>(</w:t>
      </w:r>
      <w:r w:rsidR="00BC0BE1">
        <w:t>within or outside the planning process</w:t>
      </w:r>
      <w:r w:rsidR="00731443">
        <w:t>)</w:t>
      </w:r>
      <w:r w:rsidR="00BC0BE1">
        <w:t xml:space="preserve">, </w:t>
      </w:r>
      <w:r>
        <w:t>or othe</w:t>
      </w:r>
      <w:r w:rsidR="00731443">
        <w:t>r approaches</w:t>
      </w:r>
    </w:p>
    <w:p w14:paraId="36BE711F" w14:textId="0E14BFA2" w:rsidR="006C2FD4" w:rsidRDefault="00450741" w:rsidP="007A7E30">
      <w:pPr>
        <w:pStyle w:val="ListParagraph"/>
        <w:numPr>
          <w:ilvl w:val="0"/>
          <w:numId w:val="4"/>
        </w:numPr>
      </w:pPr>
      <w:r>
        <w:t>Structur</w:t>
      </w:r>
      <w:r w:rsidR="00B60EB1">
        <w:t>ing</w:t>
      </w:r>
      <w:r>
        <w:t xml:space="preserve"> planning </w:t>
      </w:r>
      <w:r w:rsidR="002A699E">
        <w:t xml:space="preserve">committees </w:t>
      </w:r>
      <w:r>
        <w:t>to encourage participation from staff with multiple knowledge areas.  For example, r</w:t>
      </w:r>
      <w:r w:rsidR="008034AB">
        <w:t>egions could institute technical committees that encourage participation from hydrologists, demographers, planners</w:t>
      </w:r>
      <w:r>
        <w:t>, tribal elders,</w:t>
      </w:r>
      <w:r w:rsidR="008034AB">
        <w:t xml:space="preserve"> and others</w:t>
      </w:r>
      <w:r>
        <w:t xml:space="preserve"> </w:t>
      </w:r>
      <w:r w:rsidR="00EF2D0F">
        <w:t>(</w:t>
      </w:r>
      <w:r w:rsidR="008034AB">
        <w:t>from tribes and other jurisdictions</w:t>
      </w:r>
      <w:r w:rsidR="00EF2D0F">
        <w:t>)</w:t>
      </w:r>
      <w:r w:rsidR="008034AB">
        <w:t>.</w:t>
      </w:r>
      <w:r>
        <w:t xml:space="preserve"> </w:t>
      </w:r>
    </w:p>
    <w:p w14:paraId="429A2022" w14:textId="53E2FD58" w:rsidR="006C5863" w:rsidRDefault="23974B96" w:rsidP="007A7E30">
      <w:pPr>
        <w:pStyle w:val="ListParagraph"/>
        <w:numPr>
          <w:ilvl w:val="0"/>
          <w:numId w:val="4"/>
        </w:numPr>
      </w:pPr>
      <w:r>
        <w:t xml:space="preserve">Designing water planning processes to explicitly incorporate tribal information </w:t>
      </w:r>
      <w:r w:rsidR="00D749FD">
        <w:t xml:space="preserve">and traditional knowledge.  Tribal information about </w:t>
      </w:r>
      <w:r w:rsidR="00D42C91">
        <w:t xml:space="preserve">water demand may reflect </w:t>
      </w:r>
      <w:r>
        <w:t>goals to have tribal members living on their homelands</w:t>
      </w:r>
      <w:r w:rsidR="00D42C91">
        <w:t xml:space="preserve">; the </w:t>
      </w:r>
      <w:r>
        <w:t>overwhelming need for economic development to support tribal populations</w:t>
      </w:r>
      <w:r w:rsidR="00D42C91">
        <w:t>;</w:t>
      </w:r>
      <w:r>
        <w:t xml:space="preserve"> cultural values and uses of water</w:t>
      </w:r>
      <w:r w:rsidR="00D42C91">
        <w:t>;</w:t>
      </w:r>
      <w:r>
        <w:t xml:space="preserve"> and other needs</w:t>
      </w:r>
      <w:r w:rsidR="00D42C91">
        <w:t xml:space="preserve">.  </w:t>
      </w:r>
      <w:r w:rsidR="0039576F">
        <w:t xml:space="preserve">Traditional knowledge can contribute to </w:t>
      </w:r>
      <w:r>
        <w:t>alternatives and action steps.</w:t>
      </w:r>
    </w:p>
    <w:p w14:paraId="0280577C" w14:textId="06773B2F" w:rsidR="00D14BBE" w:rsidRDefault="00D14BBE" w:rsidP="007A7E30">
      <w:pPr>
        <w:pStyle w:val="ListParagraph"/>
        <w:numPr>
          <w:ilvl w:val="0"/>
          <w:numId w:val="4"/>
        </w:numPr>
      </w:pPr>
      <w:r>
        <w:t>Request</w:t>
      </w:r>
      <w:r w:rsidR="00B60EB1">
        <w:t>ing</w:t>
      </w:r>
      <w:r>
        <w:t xml:space="preserve"> agenda items for meetings from tribes </w:t>
      </w:r>
      <w:r w:rsidR="002A699E">
        <w:t>(and other committee members) in advance of meetings.</w:t>
      </w:r>
    </w:p>
    <w:p w14:paraId="22674B4F" w14:textId="002F7A92" w:rsidR="000A100E" w:rsidRDefault="006C2FD4" w:rsidP="007A7E30">
      <w:pPr>
        <w:pStyle w:val="ListParagraph"/>
        <w:numPr>
          <w:ilvl w:val="0"/>
          <w:numId w:val="4"/>
        </w:numPr>
      </w:pPr>
      <w:r>
        <w:lastRenderedPageBreak/>
        <w:t>Reduc</w:t>
      </w:r>
      <w:r w:rsidR="00B60EB1">
        <w:t>ing</w:t>
      </w:r>
      <w:r>
        <w:t xml:space="preserve"> inequities in the resources necessary to participate in water planning.  For example, </w:t>
      </w:r>
      <w:r w:rsidR="00D14BBE">
        <w:t>host</w:t>
      </w:r>
      <w:r w:rsidR="005458B0">
        <w:t>ing</w:t>
      </w:r>
      <w:r w:rsidR="00D14BBE">
        <w:t xml:space="preserve"> </w:t>
      </w:r>
      <w:r>
        <w:t xml:space="preserve">meetings in varied locations, including </w:t>
      </w:r>
      <w:r w:rsidR="00450741">
        <w:t xml:space="preserve">on </w:t>
      </w:r>
      <w:r>
        <w:t xml:space="preserve">tribal lands, </w:t>
      </w:r>
      <w:r w:rsidR="00D14BBE">
        <w:t xml:space="preserve">so that </w:t>
      </w:r>
      <w:r w:rsidR="00450741">
        <w:t xml:space="preserve">the distance and </w:t>
      </w:r>
      <w:r w:rsidR="00731443">
        <w:t xml:space="preserve">travel </w:t>
      </w:r>
      <w:r w:rsidR="00D749FD">
        <w:t xml:space="preserve">for </w:t>
      </w:r>
      <w:r w:rsidR="00450741">
        <w:t xml:space="preserve">participants for each meeting </w:t>
      </w:r>
      <w:r w:rsidR="00D14BBE">
        <w:t>varies</w:t>
      </w:r>
      <w:r w:rsidR="00D749FD">
        <w:t>;</w:t>
      </w:r>
      <w:r w:rsidR="000A100E">
        <w:t xml:space="preserve"> and contributing to the cost of tribal participation in state planning processes.</w:t>
      </w:r>
    </w:p>
    <w:p w14:paraId="78B0988C" w14:textId="4EAB4287" w:rsidR="00D8351D" w:rsidRDefault="00C1536A" w:rsidP="007A7E30">
      <w:pPr>
        <w:pStyle w:val="ListParagraph"/>
        <w:numPr>
          <w:ilvl w:val="0"/>
          <w:numId w:val="4"/>
        </w:numPr>
      </w:pPr>
      <w:r>
        <w:t>Work</w:t>
      </w:r>
      <w:r w:rsidR="00B60EB1">
        <w:t>ing</w:t>
      </w:r>
      <w:r>
        <w:t xml:space="preserve"> collaboratively to implement projects listed in plans that will benefit tribes</w:t>
      </w:r>
      <w:r w:rsidR="00D749FD">
        <w:t xml:space="preserve">.  This can help </w:t>
      </w:r>
      <w:r>
        <w:t xml:space="preserve">demonstrate the effectiveness of water planning.  Projects could be regional in nature or </w:t>
      </w:r>
      <w:r w:rsidR="001739A2">
        <w:t xml:space="preserve">for </w:t>
      </w:r>
      <w:r>
        <w:t>specific tribes, in a good</w:t>
      </w:r>
      <w:r w:rsidR="005458B0">
        <w:t>-</w:t>
      </w:r>
      <w:r>
        <w:t>faith</w:t>
      </w:r>
      <w:r w:rsidR="001739A2">
        <w:t xml:space="preserve"> </w:t>
      </w:r>
      <w:r w:rsidR="005458B0">
        <w:t xml:space="preserve">show of </w:t>
      </w:r>
      <w:r w:rsidR="001739A2">
        <w:t>commitment</w:t>
      </w:r>
      <w:r>
        <w:t xml:space="preserve">.  Examples may include watershed management, </w:t>
      </w:r>
      <w:proofErr w:type="spellStart"/>
      <w:r>
        <w:t>stormwater</w:t>
      </w:r>
      <w:proofErr w:type="spellEnd"/>
      <w:r>
        <w:t xml:space="preserve"> control, and regional water supply systems (such as the Navajo Gallup Water Supply Project).  </w:t>
      </w:r>
    </w:p>
    <w:p w14:paraId="780834E4" w14:textId="4FAC992C" w:rsidR="001739A2" w:rsidRDefault="001739A2" w:rsidP="007A7E30">
      <w:pPr>
        <w:pStyle w:val="ListParagraph"/>
        <w:numPr>
          <w:ilvl w:val="0"/>
          <w:numId w:val="4"/>
        </w:numPr>
      </w:pPr>
      <w:r>
        <w:t>Enhanc</w:t>
      </w:r>
      <w:r w:rsidR="00B60EB1">
        <w:t xml:space="preserve">ing </w:t>
      </w:r>
      <w:r>
        <w:t xml:space="preserve">the role of the tribal liaison in the </w:t>
      </w:r>
      <w:r w:rsidR="00731443">
        <w:t xml:space="preserve">New Mexico Office of the State Engineer </w:t>
      </w:r>
      <w:r>
        <w:t>for more effective communication with tribal governments and in state-tribal meetings.</w:t>
      </w:r>
    </w:p>
    <w:p w14:paraId="0DC5D72A" w14:textId="77111799" w:rsidR="00062EF4" w:rsidRDefault="23974B96" w:rsidP="007A7E30">
      <w:pPr>
        <w:pStyle w:val="ListParagraph"/>
        <w:numPr>
          <w:ilvl w:val="0"/>
          <w:numId w:val="4"/>
        </w:numPr>
      </w:pPr>
      <w:r>
        <w:t>Developing a mechanism for ongoing consultation regarding tribal involvement in state-driven water planning processes to ensure that the design of future processes reflects tribal needs.</w:t>
      </w:r>
    </w:p>
    <w:p w14:paraId="0BC44394" w14:textId="3DEAD43C" w:rsidR="001739A2" w:rsidRDefault="001739A2"/>
    <w:p w14:paraId="2C7B5515" w14:textId="108EF267" w:rsidR="00E14BB6" w:rsidRPr="007A7E30" w:rsidRDefault="00B60EB1" w:rsidP="00E65044">
      <w:pPr>
        <w:rPr>
          <w:b/>
        </w:rPr>
      </w:pPr>
      <w:r w:rsidRPr="007A7E30">
        <w:rPr>
          <w:b/>
        </w:rPr>
        <w:t>References</w:t>
      </w:r>
      <w:r w:rsidR="007A7E30" w:rsidRPr="007A7E30">
        <w:rPr>
          <w:b/>
        </w:rPr>
        <w:t xml:space="preserve"> Cited</w:t>
      </w:r>
    </w:p>
    <w:p w14:paraId="64DD51B9" w14:textId="77777777" w:rsidR="00E14BB6" w:rsidRDefault="00E14BB6" w:rsidP="00E65044"/>
    <w:p w14:paraId="1DD1F423" w14:textId="77777777" w:rsidR="00B60EB1" w:rsidRPr="00062EF4" w:rsidRDefault="00B60EB1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Amy, Douglas J. 1983. The politics of environmental mediation. </w:t>
      </w:r>
      <w:r w:rsidRPr="00062EF4">
        <w:rPr>
          <w:i/>
          <w:sz w:val="20"/>
        </w:rPr>
        <w:t>Ecology Law Quarterly</w:t>
      </w:r>
      <w:r w:rsidRPr="00062EF4">
        <w:rPr>
          <w:sz w:val="20"/>
        </w:rPr>
        <w:t xml:space="preserve"> 11 (1):1-19.</w:t>
      </w:r>
    </w:p>
    <w:p w14:paraId="73D22BC7" w14:textId="77777777" w:rsidR="00B60EB1" w:rsidRDefault="00B60EB1" w:rsidP="00B60EB1">
      <w:pPr>
        <w:spacing w:after="120"/>
        <w:ind w:left="720" w:hanging="720"/>
        <w:rPr>
          <w:sz w:val="20"/>
        </w:rPr>
      </w:pPr>
      <w:proofErr w:type="spellStart"/>
      <w:r w:rsidRPr="00062EF4">
        <w:rPr>
          <w:sz w:val="20"/>
        </w:rPr>
        <w:t>Arnstein</w:t>
      </w:r>
      <w:proofErr w:type="spellEnd"/>
      <w:r w:rsidRPr="00062EF4">
        <w:rPr>
          <w:sz w:val="20"/>
        </w:rPr>
        <w:t xml:space="preserve">, Sherry R. 1969. A ladder of citizen participation. </w:t>
      </w:r>
      <w:r w:rsidRPr="00062EF4">
        <w:rPr>
          <w:i/>
          <w:sz w:val="20"/>
        </w:rPr>
        <w:t>Journal of the American Planning Association</w:t>
      </w:r>
      <w:r w:rsidRPr="00062EF4">
        <w:rPr>
          <w:sz w:val="20"/>
        </w:rPr>
        <w:t xml:space="preserve"> 45 (2):180-189.</w:t>
      </w:r>
    </w:p>
    <w:p w14:paraId="5D6268A1" w14:textId="1EAC2888" w:rsidR="00852CEF" w:rsidRPr="00852CEF" w:rsidRDefault="005F5EFA" w:rsidP="00852CEF">
      <w:pPr>
        <w:shd w:val="clear" w:color="auto" w:fill="FFFFFF"/>
        <w:spacing w:after="120"/>
        <w:ind w:left="720" w:hanging="720"/>
        <w:rPr>
          <w:rFonts w:eastAsia="Times New Roman" w:cs="Times New Roman"/>
          <w:color w:val="000000"/>
          <w:sz w:val="20"/>
          <w:szCs w:val="20"/>
        </w:rPr>
      </w:pPr>
      <w:r>
        <w:rPr>
          <w:sz w:val="20"/>
        </w:rPr>
        <w:t xml:space="preserve">Associated Press.  2015.  Sandia Pueblo donates water for Rio Grande conservation work.  Albuquerque Journal, November 18, 2015, </w:t>
      </w:r>
      <w:r w:rsidRPr="00852CEF">
        <w:rPr>
          <w:rFonts w:cs="Times New Roman"/>
          <w:sz w:val="20"/>
        </w:rPr>
        <w:t>online edition</w:t>
      </w:r>
      <w:r w:rsidR="00852CEF" w:rsidRPr="00852CEF">
        <w:rPr>
          <w:rFonts w:cs="Times New Roman"/>
          <w:sz w:val="20"/>
        </w:rPr>
        <w:t xml:space="preserve">, </w:t>
      </w:r>
      <w:r w:rsidR="00852CEF" w:rsidRPr="00852CEF">
        <w:rPr>
          <w:rFonts w:eastAsia="Times New Roman" w:cs="Times New Roman"/>
          <w:color w:val="000000"/>
          <w:sz w:val="20"/>
          <w:szCs w:val="20"/>
        </w:rPr>
        <w:t>http://www.abqjournal.com/678020/news-around-the-region/sandia-pueblo-donates-water-for-rio-grande-conservation-work.html</w:t>
      </w:r>
      <w:r w:rsidR="00852CEF">
        <w:rPr>
          <w:rFonts w:eastAsia="Times New Roman" w:cs="Times New Roman"/>
          <w:color w:val="000000"/>
          <w:sz w:val="20"/>
          <w:szCs w:val="20"/>
        </w:rPr>
        <w:t>.</w:t>
      </w:r>
    </w:p>
    <w:p w14:paraId="27F87FB2" w14:textId="77777777" w:rsidR="00B60EB1" w:rsidRPr="00062EF4" w:rsidRDefault="00B60EB1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Dolan, Danielle V., and Beth Rose Middleton.  2015.  Improving tribal collaboration in California’s integrated regional water management program. </w:t>
      </w:r>
      <w:r w:rsidRPr="00062EF4">
        <w:rPr>
          <w:i/>
          <w:sz w:val="20"/>
        </w:rPr>
        <w:t>Natural Resources Journal</w:t>
      </w:r>
      <w:r w:rsidRPr="00062EF4">
        <w:rPr>
          <w:sz w:val="20"/>
        </w:rPr>
        <w:t xml:space="preserve"> 55:361-408.</w:t>
      </w:r>
    </w:p>
    <w:p w14:paraId="251D2D1B" w14:textId="77777777" w:rsidR="00B60EB1" w:rsidRPr="00062EF4" w:rsidRDefault="00B60EB1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Hausam, Sharon Lynn. 2006. </w:t>
      </w:r>
      <w:r w:rsidRPr="00062EF4">
        <w:rPr>
          <w:i/>
          <w:sz w:val="20"/>
        </w:rPr>
        <w:t>Native American and non-n</w:t>
      </w:r>
      <w:bookmarkStart w:id="1" w:name="_GoBack"/>
      <w:bookmarkEnd w:id="1"/>
      <w:r w:rsidRPr="00062EF4">
        <w:rPr>
          <w:i/>
          <w:sz w:val="20"/>
        </w:rPr>
        <w:t>ative involvement in collaborative planning process: Interactions and outcomes: A case study of a planning process for the Badger Army Ammunition Plant</w:t>
      </w:r>
      <w:r w:rsidRPr="00062EF4">
        <w:rPr>
          <w:sz w:val="20"/>
        </w:rPr>
        <w:t>. Ph.D. dissertation, Urban and Regional Planning, University of Wisconsin-Madison, Madison, WI.</w:t>
      </w:r>
    </w:p>
    <w:p w14:paraId="4B929D80" w14:textId="77777777" w:rsidR="00E14BB6" w:rsidRPr="00062EF4" w:rsidRDefault="00E14BB6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Hausam, Sharon. 2013. Maybe, maybe not: Native American participation in regional planning. pp 166-190 in </w:t>
      </w:r>
      <w:r w:rsidRPr="00062EF4">
        <w:rPr>
          <w:i/>
          <w:sz w:val="20"/>
        </w:rPr>
        <w:t xml:space="preserve">Reclaiming </w:t>
      </w:r>
      <w:r w:rsidR="00B60EB1" w:rsidRPr="00062EF4">
        <w:rPr>
          <w:i/>
          <w:sz w:val="20"/>
        </w:rPr>
        <w:t>i</w:t>
      </w:r>
      <w:r w:rsidRPr="00062EF4">
        <w:rPr>
          <w:i/>
          <w:sz w:val="20"/>
        </w:rPr>
        <w:t xml:space="preserve">ndigenous </w:t>
      </w:r>
      <w:r w:rsidR="00B60EB1" w:rsidRPr="00062EF4">
        <w:rPr>
          <w:i/>
          <w:sz w:val="20"/>
        </w:rPr>
        <w:t>p</w:t>
      </w:r>
      <w:r w:rsidRPr="00062EF4">
        <w:rPr>
          <w:i/>
          <w:sz w:val="20"/>
        </w:rPr>
        <w:t>lanning</w:t>
      </w:r>
      <w:r w:rsidRPr="00062EF4">
        <w:rPr>
          <w:sz w:val="20"/>
        </w:rPr>
        <w:t xml:space="preserve">, edited by Ryan Walker, Ted Jojola and David </w:t>
      </w:r>
      <w:proofErr w:type="spellStart"/>
      <w:r w:rsidRPr="00062EF4">
        <w:rPr>
          <w:sz w:val="20"/>
        </w:rPr>
        <w:t>Natcher</w:t>
      </w:r>
      <w:proofErr w:type="spellEnd"/>
      <w:r w:rsidRPr="00062EF4">
        <w:rPr>
          <w:sz w:val="20"/>
        </w:rPr>
        <w:t>. Montreal &amp; Kingston: McGill-Queen's University Press.</w:t>
      </w:r>
    </w:p>
    <w:p w14:paraId="4475BECD" w14:textId="77777777" w:rsidR="00B60EB1" w:rsidRPr="00062EF4" w:rsidRDefault="00B60EB1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>Innes, Judith E. 1994. Planning through consensus-building: A new view of the comprehensive planning ideal. Working paper 626. Berkeley: University of California at Berkeley, Institute of Urban and Regional Planning.</w:t>
      </w:r>
    </w:p>
    <w:p w14:paraId="5D4A1AF2" w14:textId="77777777" w:rsidR="00E14BB6" w:rsidRPr="00062EF4" w:rsidRDefault="00E14BB6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Innes, Judith E. 1999. Evaluating consensus building. pp 631-673 in </w:t>
      </w:r>
      <w:r w:rsidRPr="00062EF4">
        <w:rPr>
          <w:i/>
          <w:sz w:val="20"/>
        </w:rPr>
        <w:t>The consensus building handbook</w:t>
      </w:r>
      <w:r w:rsidRPr="00062EF4">
        <w:rPr>
          <w:sz w:val="20"/>
        </w:rPr>
        <w:t xml:space="preserve">, edited by Lawrence Susskind, Sarah </w:t>
      </w:r>
      <w:proofErr w:type="spellStart"/>
      <w:r w:rsidRPr="00062EF4">
        <w:rPr>
          <w:sz w:val="20"/>
        </w:rPr>
        <w:t>McKearnan</w:t>
      </w:r>
      <w:proofErr w:type="spellEnd"/>
      <w:r w:rsidRPr="00062EF4">
        <w:rPr>
          <w:sz w:val="20"/>
        </w:rPr>
        <w:t xml:space="preserve"> and Jennifer Thomas-</w:t>
      </w:r>
      <w:proofErr w:type="spellStart"/>
      <w:r w:rsidRPr="00062EF4">
        <w:rPr>
          <w:sz w:val="20"/>
        </w:rPr>
        <w:t>Larmer</w:t>
      </w:r>
      <w:proofErr w:type="spellEnd"/>
      <w:r w:rsidRPr="00062EF4">
        <w:rPr>
          <w:sz w:val="20"/>
        </w:rPr>
        <w:t>. Thousand Oaks: Sage Publications.</w:t>
      </w:r>
    </w:p>
    <w:p w14:paraId="734484CF" w14:textId="77777777" w:rsidR="00E14BB6" w:rsidRPr="00062EF4" w:rsidRDefault="00E14BB6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Innes, Judith E., and David E. </w:t>
      </w:r>
      <w:proofErr w:type="spellStart"/>
      <w:r w:rsidRPr="00062EF4">
        <w:rPr>
          <w:sz w:val="20"/>
        </w:rPr>
        <w:t>Booher</w:t>
      </w:r>
      <w:proofErr w:type="spellEnd"/>
      <w:r w:rsidRPr="00062EF4">
        <w:rPr>
          <w:sz w:val="20"/>
        </w:rPr>
        <w:t>. 2003. The impact of collaborative planning on governance capacity.  Working paper 2003-03. Berkeley, CA: Institute of Urban and Regional Development, University of California, Berkeley. Original edition, Paper prepared for the Annual Conference of the Association of Collegiate Schools of Planning, Baltimore, MD, November 21-24, 2002.</w:t>
      </w:r>
    </w:p>
    <w:p w14:paraId="7AFA256C" w14:textId="77777777" w:rsidR="00B60EB1" w:rsidRPr="00062EF4" w:rsidRDefault="00B60EB1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Lane, Marcus B., and Tony Corbett. 2005. The tyranny of localism: indigenous participation in community-based environmental management. </w:t>
      </w:r>
      <w:r w:rsidRPr="00062EF4">
        <w:rPr>
          <w:i/>
          <w:sz w:val="20"/>
        </w:rPr>
        <w:t>Journal of Environmental Policy &amp; Planning</w:t>
      </w:r>
      <w:r w:rsidRPr="00062EF4">
        <w:rPr>
          <w:sz w:val="20"/>
        </w:rPr>
        <w:t xml:space="preserve"> 7 (2):141-159.</w:t>
      </w:r>
    </w:p>
    <w:p w14:paraId="1A360A23" w14:textId="77777777" w:rsidR="00B60EB1" w:rsidRPr="00062EF4" w:rsidRDefault="00B60EB1" w:rsidP="00B60EB1">
      <w:pPr>
        <w:spacing w:after="120"/>
        <w:ind w:left="720" w:hanging="720"/>
        <w:rPr>
          <w:sz w:val="20"/>
        </w:rPr>
      </w:pPr>
      <w:r w:rsidRPr="00062EF4">
        <w:rPr>
          <w:sz w:val="20"/>
        </w:rPr>
        <w:t xml:space="preserve">Robert, Lisa. 1996. Healing the Jemez. </w:t>
      </w:r>
      <w:r w:rsidRPr="00062EF4">
        <w:rPr>
          <w:i/>
          <w:sz w:val="20"/>
        </w:rPr>
        <w:t>Dialogue</w:t>
      </w:r>
      <w:r w:rsidRPr="00062EF4">
        <w:rPr>
          <w:sz w:val="20"/>
        </w:rPr>
        <w:t xml:space="preserve"> (published by the New Mexico Water Dialogue) November 1996:13-16.</w:t>
      </w:r>
    </w:p>
    <w:p w14:paraId="49F79D77" w14:textId="77777777" w:rsidR="0054425E" w:rsidRPr="00062EF4" w:rsidRDefault="0054425E" w:rsidP="00B60EB1">
      <w:pPr>
        <w:spacing w:after="120"/>
        <w:ind w:left="720" w:hanging="720"/>
        <w:rPr>
          <w:sz w:val="20"/>
        </w:rPr>
      </w:pPr>
      <w:proofErr w:type="spellStart"/>
      <w:r w:rsidRPr="00062EF4">
        <w:rPr>
          <w:sz w:val="20"/>
        </w:rPr>
        <w:t>Wondolleck</w:t>
      </w:r>
      <w:proofErr w:type="spellEnd"/>
      <w:r w:rsidRPr="00062EF4">
        <w:rPr>
          <w:sz w:val="20"/>
        </w:rPr>
        <w:t xml:space="preserve">, Julia Marie, and Steven L. </w:t>
      </w:r>
      <w:proofErr w:type="spellStart"/>
      <w:r w:rsidRPr="00062EF4">
        <w:rPr>
          <w:sz w:val="20"/>
        </w:rPr>
        <w:t>Yaffee</w:t>
      </w:r>
      <w:proofErr w:type="spellEnd"/>
      <w:r w:rsidRPr="00062EF4">
        <w:rPr>
          <w:sz w:val="20"/>
        </w:rPr>
        <w:t xml:space="preserve">. 2000. </w:t>
      </w:r>
      <w:r w:rsidRPr="00062EF4">
        <w:rPr>
          <w:i/>
          <w:sz w:val="20"/>
        </w:rPr>
        <w:t>Making collaboration work: Lessons from innovation in natural resource management</w:t>
      </w:r>
      <w:r w:rsidRPr="00062EF4">
        <w:rPr>
          <w:sz w:val="20"/>
        </w:rPr>
        <w:t>. Washington, DC: Island Press.</w:t>
      </w:r>
    </w:p>
    <w:sectPr w:rsidR="0054425E" w:rsidRPr="00062EF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CBDE9" w14:textId="77777777" w:rsidR="00392AA4" w:rsidRDefault="00392AA4" w:rsidP="00B60EB1">
      <w:r>
        <w:separator/>
      </w:r>
    </w:p>
  </w:endnote>
  <w:endnote w:type="continuationSeparator" w:id="0">
    <w:p w14:paraId="199792EB" w14:textId="77777777" w:rsidR="00392AA4" w:rsidRDefault="00392AA4" w:rsidP="00B60EB1">
      <w:r>
        <w:continuationSeparator/>
      </w:r>
    </w:p>
  </w:endnote>
  <w:endnote w:type="continuationNotice" w:id="1">
    <w:p w14:paraId="0725431A" w14:textId="77777777" w:rsidR="00392AA4" w:rsidRDefault="00392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stige12 BT">
    <w:altName w:val="Prestige12 B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22C1" w14:textId="77777777" w:rsidR="00635B6D" w:rsidRDefault="00635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14844" w14:textId="77777777" w:rsidR="00392AA4" w:rsidRDefault="00392AA4" w:rsidP="00B60EB1">
      <w:r>
        <w:separator/>
      </w:r>
    </w:p>
  </w:footnote>
  <w:footnote w:type="continuationSeparator" w:id="0">
    <w:p w14:paraId="5A21157C" w14:textId="77777777" w:rsidR="00392AA4" w:rsidRDefault="00392AA4" w:rsidP="00B60EB1">
      <w:r>
        <w:continuationSeparator/>
      </w:r>
    </w:p>
  </w:footnote>
  <w:footnote w:type="continuationNotice" w:id="1">
    <w:p w14:paraId="7EA9E3A1" w14:textId="77777777" w:rsidR="00392AA4" w:rsidRDefault="00392AA4"/>
  </w:footnote>
  <w:footnote w:id="2">
    <w:p w14:paraId="0560D06B" w14:textId="77777777" w:rsidR="00B60EB1" w:rsidRDefault="00B60EB1">
      <w:pPr>
        <w:pStyle w:val="FootnoteText"/>
      </w:pPr>
      <w:r>
        <w:rPr>
          <w:rStyle w:val="FootnoteReference"/>
        </w:rPr>
        <w:footnoteRef/>
      </w:r>
      <w:r>
        <w:t xml:space="preserve"> Hereinafter listed as “tribes,” referring to the legal term “federally-recognized tribes.”</w:t>
      </w:r>
    </w:p>
  </w:footnote>
  <w:footnote w:id="3">
    <w:p w14:paraId="745F7C80" w14:textId="77777777" w:rsidR="008916C7" w:rsidRDefault="008916C7">
      <w:pPr>
        <w:pStyle w:val="FootnoteText"/>
      </w:pPr>
      <w:r>
        <w:rPr>
          <w:rStyle w:val="FootnoteReference"/>
        </w:rPr>
        <w:footnoteRef/>
      </w:r>
      <w:r>
        <w:t xml:space="preserve"> There are certain exceptions benefitting specific tribes, such as the Navajo-Gallup Water Supply Project.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5F46" w14:textId="77777777" w:rsidR="00635B6D" w:rsidRDefault="00635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7881"/>
    <w:multiLevelType w:val="hybridMultilevel"/>
    <w:tmpl w:val="59BABB32"/>
    <w:lvl w:ilvl="0" w:tplc="E564B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6A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EAA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EB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AB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80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43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C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E2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20C5C"/>
    <w:multiLevelType w:val="hybridMultilevel"/>
    <w:tmpl w:val="A766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93DD3"/>
    <w:multiLevelType w:val="hybridMultilevel"/>
    <w:tmpl w:val="F16E937C"/>
    <w:lvl w:ilvl="0" w:tplc="90827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0C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20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CA5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82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8A2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64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EE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8E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A56F5"/>
    <w:multiLevelType w:val="hybridMultilevel"/>
    <w:tmpl w:val="7AD4B888"/>
    <w:lvl w:ilvl="0" w:tplc="B7885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E2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C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4CE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69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29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077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5A4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7"/>
    <w:rsid w:val="0000768C"/>
    <w:rsid w:val="00025757"/>
    <w:rsid w:val="00062EF4"/>
    <w:rsid w:val="00064778"/>
    <w:rsid w:val="00075AB3"/>
    <w:rsid w:val="000807ED"/>
    <w:rsid w:val="000A100E"/>
    <w:rsid w:val="000F7429"/>
    <w:rsid w:val="0010777F"/>
    <w:rsid w:val="00151A04"/>
    <w:rsid w:val="001739A2"/>
    <w:rsid w:val="00182C68"/>
    <w:rsid w:val="0018738C"/>
    <w:rsid w:val="00205417"/>
    <w:rsid w:val="0026062D"/>
    <w:rsid w:val="002A699E"/>
    <w:rsid w:val="002F3375"/>
    <w:rsid w:val="00302A0C"/>
    <w:rsid w:val="00354ECF"/>
    <w:rsid w:val="00392AA4"/>
    <w:rsid w:val="0039576F"/>
    <w:rsid w:val="003D2CDC"/>
    <w:rsid w:val="003D3588"/>
    <w:rsid w:val="003E5B09"/>
    <w:rsid w:val="00401A61"/>
    <w:rsid w:val="00414A3A"/>
    <w:rsid w:val="00450741"/>
    <w:rsid w:val="00454095"/>
    <w:rsid w:val="0048415A"/>
    <w:rsid w:val="004900D6"/>
    <w:rsid w:val="004D4C6E"/>
    <w:rsid w:val="004F34B8"/>
    <w:rsid w:val="00504037"/>
    <w:rsid w:val="0054425E"/>
    <w:rsid w:val="005458B0"/>
    <w:rsid w:val="00556C18"/>
    <w:rsid w:val="00584452"/>
    <w:rsid w:val="005B1D5A"/>
    <w:rsid w:val="005E75CC"/>
    <w:rsid w:val="005F0200"/>
    <w:rsid w:val="005F59DF"/>
    <w:rsid w:val="005F5EFA"/>
    <w:rsid w:val="00615D62"/>
    <w:rsid w:val="0063424A"/>
    <w:rsid w:val="00634EE6"/>
    <w:rsid w:val="00635B6D"/>
    <w:rsid w:val="00636456"/>
    <w:rsid w:val="006A3DD9"/>
    <w:rsid w:val="006B3B0C"/>
    <w:rsid w:val="006B49AD"/>
    <w:rsid w:val="006C2FD4"/>
    <w:rsid w:val="006C5863"/>
    <w:rsid w:val="006E5F25"/>
    <w:rsid w:val="00731443"/>
    <w:rsid w:val="0073250D"/>
    <w:rsid w:val="007427A6"/>
    <w:rsid w:val="0076544D"/>
    <w:rsid w:val="007A41ED"/>
    <w:rsid w:val="007A7E30"/>
    <w:rsid w:val="00802D8F"/>
    <w:rsid w:val="008034AB"/>
    <w:rsid w:val="0081316F"/>
    <w:rsid w:val="00825354"/>
    <w:rsid w:val="00832280"/>
    <w:rsid w:val="00852CEF"/>
    <w:rsid w:val="00867849"/>
    <w:rsid w:val="00875716"/>
    <w:rsid w:val="00886305"/>
    <w:rsid w:val="008916C7"/>
    <w:rsid w:val="008A61A6"/>
    <w:rsid w:val="008B160E"/>
    <w:rsid w:val="008D279E"/>
    <w:rsid w:val="008D7676"/>
    <w:rsid w:val="008E08FB"/>
    <w:rsid w:val="009E1BDD"/>
    <w:rsid w:val="00A700E8"/>
    <w:rsid w:val="00A84589"/>
    <w:rsid w:val="00AA28B1"/>
    <w:rsid w:val="00AC2BC8"/>
    <w:rsid w:val="00AC60D2"/>
    <w:rsid w:val="00AF320C"/>
    <w:rsid w:val="00B22FC2"/>
    <w:rsid w:val="00B3083F"/>
    <w:rsid w:val="00B33E51"/>
    <w:rsid w:val="00B3564A"/>
    <w:rsid w:val="00B5136E"/>
    <w:rsid w:val="00B60EB1"/>
    <w:rsid w:val="00B911E7"/>
    <w:rsid w:val="00BC0BE1"/>
    <w:rsid w:val="00BD3A01"/>
    <w:rsid w:val="00BD5822"/>
    <w:rsid w:val="00BF613C"/>
    <w:rsid w:val="00C1536A"/>
    <w:rsid w:val="00C92633"/>
    <w:rsid w:val="00C9552E"/>
    <w:rsid w:val="00CB7535"/>
    <w:rsid w:val="00CD6C0A"/>
    <w:rsid w:val="00D13AD8"/>
    <w:rsid w:val="00D14BBE"/>
    <w:rsid w:val="00D22D34"/>
    <w:rsid w:val="00D42C91"/>
    <w:rsid w:val="00D749FD"/>
    <w:rsid w:val="00D80A7E"/>
    <w:rsid w:val="00D8351D"/>
    <w:rsid w:val="00D94C64"/>
    <w:rsid w:val="00DB4DAE"/>
    <w:rsid w:val="00DC54E6"/>
    <w:rsid w:val="00DC6C7C"/>
    <w:rsid w:val="00DF7462"/>
    <w:rsid w:val="00E14BB6"/>
    <w:rsid w:val="00E268E2"/>
    <w:rsid w:val="00E4430E"/>
    <w:rsid w:val="00E65044"/>
    <w:rsid w:val="00E71C63"/>
    <w:rsid w:val="00EA3EEB"/>
    <w:rsid w:val="00EE0379"/>
    <w:rsid w:val="00EE4378"/>
    <w:rsid w:val="00EF2D0F"/>
    <w:rsid w:val="00F010E3"/>
    <w:rsid w:val="00F04D71"/>
    <w:rsid w:val="00F171C4"/>
    <w:rsid w:val="00F62752"/>
    <w:rsid w:val="00F759CB"/>
    <w:rsid w:val="00F774B6"/>
    <w:rsid w:val="00F87508"/>
    <w:rsid w:val="00FA593A"/>
    <w:rsid w:val="00FC2731"/>
    <w:rsid w:val="00FC7155"/>
    <w:rsid w:val="239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E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EB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EB1"/>
    <w:rPr>
      <w:vertAlign w:val="superscript"/>
    </w:rPr>
  </w:style>
  <w:style w:type="paragraph" w:customStyle="1" w:styleId="Default">
    <w:name w:val="Default"/>
    <w:rsid w:val="004D4C6E"/>
    <w:pPr>
      <w:autoSpaceDE w:val="0"/>
      <w:autoSpaceDN w:val="0"/>
      <w:adjustRightInd w:val="0"/>
    </w:pPr>
    <w:rPr>
      <w:rFonts w:ascii="Prestige12 BT" w:hAnsi="Prestige12 BT" w:cs="Prestige12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5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6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5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atutes">
    <w:name w:val="statutes"/>
    <w:basedOn w:val="DefaultParagraphFont"/>
    <w:rsid w:val="005F59DF"/>
  </w:style>
  <w:style w:type="character" w:customStyle="1" w:styleId="catchline">
    <w:name w:val="catchline"/>
    <w:basedOn w:val="DefaultParagraphFont"/>
    <w:rsid w:val="005F59DF"/>
  </w:style>
  <w:style w:type="character" w:styleId="Hyperlink">
    <w:name w:val="Hyperlink"/>
    <w:basedOn w:val="DefaultParagraphFont"/>
    <w:uiPriority w:val="99"/>
    <w:semiHidden/>
    <w:unhideWhenUsed/>
    <w:rsid w:val="00852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1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60E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EB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EB1"/>
    <w:rPr>
      <w:vertAlign w:val="superscript"/>
    </w:rPr>
  </w:style>
  <w:style w:type="paragraph" w:customStyle="1" w:styleId="Default">
    <w:name w:val="Default"/>
    <w:rsid w:val="004D4C6E"/>
    <w:pPr>
      <w:autoSpaceDE w:val="0"/>
      <w:autoSpaceDN w:val="0"/>
      <w:adjustRightInd w:val="0"/>
    </w:pPr>
    <w:rPr>
      <w:rFonts w:ascii="Prestige12 BT" w:hAnsi="Prestige12 BT" w:cs="Prestige12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6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35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6D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5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statutes">
    <w:name w:val="statutes"/>
    <w:basedOn w:val="DefaultParagraphFont"/>
    <w:rsid w:val="005F59DF"/>
  </w:style>
  <w:style w:type="character" w:customStyle="1" w:styleId="catchline">
    <w:name w:val="catchline"/>
    <w:basedOn w:val="DefaultParagraphFont"/>
    <w:rsid w:val="005F59DF"/>
  </w:style>
  <w:style w:type="character" w:styleId="Hyperlink">
    <w:name w:val="Hyperlink"/>
    <w:basedOn w:val="DefaultParagraphFont"/>
    <w:uiPriority w:val="99"/>
    <w:semiHidden/>
    <w:unhideWhenUsed/>
    <w:rsid w:val="00852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3454-A416-4972-97D2-46BB8C88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Hausam</dc:creator>
  <cp:lastModifiedBy>Sharon Hausam</cp:lastModifiedBy>
  <cp:revision>3</cp:revision>
  <dcterms:created xsi:type="dcterms:W3CDTF">2015-11-29T00:00:00Z</dcterms:created>
  <dcterms:modified xsi:type="dcterms:W3CDTF">2015-12-04T15:41:00Z</dcterms:modified>
</cp:coreProperties>
</file>