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E9E" w:rsidRDefault="00ED019F">
      <w:pPr>
        <w:jc w:val="center"/>
        <w:rPr>
          <w:b/>
          <w:bCs/>
        </w:rPr>
      </w:pPr>
      <w:bookmarkStart w:id="0" w:name="_GoBack"/>
      <w:bookmarkEnd w:id="0"/>
      <w:r>
        <w:rPr>
          <w:b/>
          <w:bCs/>
        </w:rPr>
        <w:t>State and Regional Water Planning</w:t>
      </w:r>
    </w:p>
    <w:p w:rsidR="00C6191C" w:rsidRDefault="00C6191C">
      <w:pPr>
        <w:jc w:val="center"/>
        <w:rPr>
          <w:b/>
          <w:bCs/>
        </w:rPr>
      </w:pPr>
      <w:r>
        <w:rPr>
          <w:b/>
          <w:bCs/>
        </w:rPr>
        <w:t>Work Plan for</w:t>
      </w:r>
    </w:p>
    <w:p w:rsidR="00023FC7" w:rsidRDefault="00ED019F">
      <w:pPr>
        <w:jc w:val="center"/>
        <w:rPr>
          <w:b/>
          <w:bCs/>
        </w:rPr>
      </w:pPr>
      <w:r>
        <w:rPr>
          <w:b/>
          <w:bCs/>
        </w:rPr>
        <w:t xml:space="preserve">FY2015 </w:t>
      </w:r>
      <w:r w:rsidR="00FC414E" w:rsidRPr="00772F2D">
        <w:rPr>
          <w:b/>
          <w:bCs/>
        </w:rPr>
        <w:t>and FY2016</w:t>
      </w:r>
    </w:p>
    <w:p w:rsidR="00023FC7" w:rsidRDefault="00B25E9E">
      <w:pPr>
        <w:jc w:val="center"/>
        <w:rPr>
          <w:b/>
          <w:bCs/>
        </w:rPr>
      </w:pPr>
      <w:r>
        <w:rPr>
          <w:b/>
          <w:bCs/>
        </w:rPr>
        <w:t xml:space="preserve"> </w:t>
      </w:r>
    </w:p>
    <w:p w:rsidR="00023FC7" w:rsidRDefault="00023FC7">
      <w:pPr>
        <w:jc w:val="center"/>
        <w:rPr>
          <w:b/>
          <w:bCs/>
        </w:rPr>
      </w:pPr>
    </w:p>
    <w:p w:rsidR="00023FC7" w:rsidRDefault="00023FC7">
      <w:pPr>
        <w:rPr>
          <w:b/>
          <w:bCs/>
          <w:bdr w:val="single" w:sz="4" w:space="0" w:color="auto"/>
        </w:rPr>
      </w:pPr>
    </w:p>
    <w:p w:rsidR="00023FC7" w:rsidRDefault="00023FC7">
      <w:pPr>
        <w:rPr>
          <w:b/>
          <w:bCs/>
          <w:bdr w:val="single" w:sz="4" w:space="0" w:color="auto"/>
        </w:rPr>
      </w:pPr>
    </w:p>
    <w:p w:rsidR="00023FC7" w:rsidRPr="00D3466E" w:rsidRDefault="00D3466E">
      <w:pPr>
        <w:rPr>
          <w:sz w:val="22"/>
          <w:szCs w:val="22"/>
          <w:u w:val="single"/>
        </w:rPr>
      </w:pPr>
      <w:r w:rsidRPr="00D3466E">
        <w:rPr>
          <w:sz w:val="22"/>
          <w:szCs w:val="22"/>
          <w:u w:val="single"/>
        </w:rPr>
        <w:t>Executive Summary</w:t>
      </w:r>
    </w:p>
    <w:p w:rsidR="0093627D" w:rsidRDefault="0093627D" w:rsidP="003214C6">
      <w:pPr>
        <w:pStyle w:val="Footer"/>
        <w:tabs>
          <w:tab w:val="clear" w:pos="4320"/>
          <w:tab w:val="clear" w:pos="8640"/>
        </w:tabs>
        <w:rPr>
          <w:sz w:val="22"/>
          <w:szCs w:val="22"/>
        </w:rPr>
      </w:pPr>
      <w:r>
        <w:rPr>
          <w:sz w:val="22"/>
          <w:szCs w:val="22"/>
        </w:rPr>
        <w:t>The water planning work program for fiscal year 2015 continues the work plan approved for fiscal year 2014 as amended in September 2013</w:t>
      </w:r>
      <w:r w:rsidR="009977D9">
        <w:rPr>
          <w:sz w:val="22"/>
          <w:szCs w:val="22"/>
        </w:rPr>
        <w:t>.</w:t>
      </w:r>
    </w:p>
    <w:p w:rsidR="009977D9" w:rsidRDefault="009977D9" w:rsidP="003214C6">
      <w:pPr>
        <w:pStyle w:val="Footer"/>
        <w:tabs>
          <w:tab w:val="clear" w:pos="4320"/>
          <w:tab w:val="clear" w:pos="8640"/>
        </w:tabs>
        <w:rPr>
          <w:sz w:val="22"/>
          <w:szCs w:val="22"/>
        </w:rPr>
      </w:pPr>
    </w:p>
    <w:p w:rsidR="006360E0" w:rsidRDefault="0093627D" w:rsidP="003214C6">
      <w:pPr>
        <w:pStyle w:val="Footer"/>
        <w:tabs>
          <w:tab w:val="clear" w:pos="4320"/>
          <w:tab w:val="clear" w:pos="8640"/>
        </w:tabs>
        <w:rPr>
          <w:sz w:val="22"/>
          <w:szCs w:val="22"/>
        </w:rPr>
      </w:pPr>
      <w:r>
        <w:rPr>
          <w:sz w:val="22"/>
          <w:szCs w:val="22"/>
        </w:rPr>
        <w:t xml:space="preserve">The </w:t>
      </w:r>
      <w:r w:rsidR="00E83233">
        <w:rPr>
          <w:sz w:val="22"/>
          <w:szCs w:val="22"/>
        </w:rPr>
        <w:t>Interstate Stream Commission (</w:t>
      </w:r>
      <w:r>
        <w:rPr>
          <w:sz w:val="22"/>
          <w:szCs w:val="22"/>
        </w:rPr>
        <w:t>ISC</w:t>
      </w:r>
      <w:r w:rsidR="00E83233">
        <w:rPr>
          <w:sz w:val="22"/>
          <w:szCs w:val="22"/>
        </w:rPr>
        <w:t>)</w:t>
      </w:r>
      <w:r>
        <w:rPr>
          <w:sz w:val="22"/>
          <w:szCs w:val="22"/>
        </w:rPr>
        <w:t xml:space="preserve"> is implementing the revised planning approach to update all 16 regional water plans and the State Water Plan over a two-year timeframe. State funding was awarded or otherwise provided </w:t>
      </w:r>
      <w:r w:rsidR="006360E0">
        <w:rPr>
          <w:sz w:val="22"/>
          <w:szCs w:val="22"/>
        </w:rPr>
        <w:t xml:space="preserve">this fiscal year </w:t>
      </w:r>
      <w:r>
        <w:rPr>
          <w:sz w:val="22"/>
          <w:szCs w:val="22"/>
        </w:rPr>
        <w:t>to the ongoing regional and state water planning program as needed to stay on track with the overall goal of updating all the water plans</w:t>
      </w:r>
      <w:r w:rsidR="006360E0">
        <w:rPr>
          <w:sz w:val="22"/>
          <w:szCs w:val="22"/>
        </w:rPr>
        <w:t xml:space="preserve"> in a two-year timeframe.</w:t>
      </w:r>
    </w:p>
    <w:p w:rsidR="006360E0" w:rsidRDefault="006360E0" w:rsidP="003214C6">
      <w:pPr>
        <w:pStyle w:val="Footer"/>
        <w:tabs>
          <w:tab w:val="clear" w:pos="4320"/>
          <w:tab w:val="clear" w:pos="8640"/>
        </w:tabs>
        <w:rPr>
          <w:sz w:val="22"/>
          <w:szCs w:val="22"/>
        </w:rPr>
      </w:pPr>
    </w:p>
    <w:p w:rsidR="0093627D" w:rsidRDefault="0093627D" w:rsidP="003214C6">
      <w:pPr>
        <w:pStyle w:val="Footer"/>
        <w:tabs>
          <w:tab w:val="clear" w:pos="4320"/>
          <w:tab w:val="clear" w:pos="8640"/>
        </w:tabs>
        <w:rPr>
          <w:sz w:val="22"/>
          <w:szCs w:val="22"/>
        </w:rPr>
      </w:pPr>
      <w:r>
        <w:rPr>
          <w:sz w:val="22"/>
          <w:szCs w:val="22"/>
        </w:rPr>
        <w:t>The revised planning approach</w:t>
      </w:r>
      <w:r w:rsidR="006360E0">
        <w:rPr>
          <w:sz w:val="22"/>
          <w:szCs w:val="22"/>
        </w:rPr>
        <w:t xml:space="preserve"> underway</w:t>
      </w:r>
      <w:r>
        <w:rPr>
          <w:sz w:val="22"/>
          <w:szCs w:val="22"/>
        </w:rPr>
        <w:t xml:space="preserve"> consists of </w:t>
      </w:r>
      <w:r w:rsidR="006360E0">
        <w:rPr>
          <w:sz w:val="22"/>
          <w:szCs w:val="22"/>
        </w:rPr>
        <w:t xml:space="preserve">two </w:t>
      </w:r>
      <w:r>
        <w:rPr>
          <w:sz w:val="22"/>
          <w:szCs w:val="22"/>
        </w:rPr>
        <w:t>parallel work tracks: 1. Completing a “common technical platform” for all the regions (updating the regional water supply and demand data for each region that also takes into account legal and water management changes</w:t>
      </w:r>
      <w:r w:rsidR="006360E0">
        <w:rPr>
          <w:sz w:val="22"/>
          <w:szCs w:val="22"/>
        </w:rPr>
        <w:t>,</w:t>
      </w:r>
      <w:r>
        <w:rPr>
          <w:sz w:val="22"/>
          <w:szCs w:val="22"/>
        </w:rPr>
        <w:t xml:space="preserve"> and 2. Developing functional regional steering committees made up of each region’s </w:t>
      </w:r>
      <w:r w:rsidR="006360E0">
        <w:rPr>
          <w:sz w:val="22"/>
          <w:szCs w:val="22"/>
        </w:rPr>
        <w:t xml:space="preserve">key </w:t>
      </w:r>
      <w:r>
        <w:rPr>
          <w:sz w:val="22"/>
          <w:szCs w:val="22"/>
        </w:rPr>
        <w:t xml:space="preserve">water stakeholders to identify and discuss </w:t>
      </w:r>
      <w:r w:rsidR="00581497">
        <w:rPr>
          <w:sz w:val="22"/>
          <w:szCs w:val="22"/>
        </w:rPr>
        <w:t xml:space="preserve">their respective water challenges and how to address them through policies, programs, or projects. </w:t>
      </w:r>
    </w:p>
    <w:p w:rsidR="00EC7F3A" w:rsidRDefault="0093627D" w:rsidP="003214C6">
      <w:pPr>
        <w:pStyle w:val="Footer"/>
        <w:tabs>
          <w:tab w:val="clear" w:pos="4320"/>
          <w:tab w:val="clear" w:pos="8640"/>
        </w:tabs>
        <w:rPr>
          <w:sz w:val="22"/>
          <w:szCs w:val="22"/>
          <w:u w:val="single"/>
        </w:rPr>
      </w:pPr>
      <w:r>
        <w:rPr>
          <w:sz w:val="22"/>
          <w:szCs w:val="22"/>
        </w:rPr>
        <w:t xml:space="preserve"> </w:t>
      </w:r>
    </w:p>
    <w:p w:rsidR="00EC7F3A" w:rsidRDefault="00D3466E" w:rsidP="00C50B8A">
      <w:pPr>
        <w:pStyle w:val="Footer"/>
        <w:tabs>
          <w:tab w:val="clear" w:pos="4320"/>
          <w:tab w:val="clear" w:pos="8640"/>
        </w:tabs>
        <w:rPr>
          <w:rFonts w:cs="Arial"/>
        </w:rPr>
      </w:pPr>
      <w:r w:rsidRPr="003214C6">
        <w:rPr>
          <w:sz w:val="22"/>
          <w:szCs w:val="22"/>
          <w:u w:val="single"/>
        </w:rPr>
        <w:t>Background</w:t>
      </w:r>
    </w:p>
    <w:p w:rsidR="009C7917" w:rsidRDefault="009C7917" w:rsidP="00EC7F3A">
      <w:pPr>
        <w:ind w:right="540"/>
        <w:rPr>
          <w:rFonts w:cs="Arial"/>
          <w:sz w:val="22"/>
          <w:szCs w:val="22"/>
        </w:rPr>
      </w:pPr>
      <w:r>
        <w:rPr>
          <w:rFonts w:cs="Arial"/>
          <w:sz w:val="22"/>
          <w:szCs w:val="22"/>
        </w:rPr>
        <w:t xml:space="preserve">When the </w:t>
      </w:r>
      <w:r w:rsidR="00E83233">
        <w:rPr>
          <w:rFonts w:cs="Arial"/>
          <w:sz w:val="22"/>
          <w:szCs w:val="22"/>
        </w:rPr>
        <w:t>ISC</w:t>
      </w:r>
      <w:r w:rsidR="00EC7F3A">
        <w:rPr>
          <w:rFonts w:cs="Arial"/>
          <w:sz w:val="22"/>
          <w:szCs w:val="22"/>
        </w:rPr>
        <w:t xml:space="preserve"> </w:t>
      </w:r>
      <w:r>
        <w:rPr>
          <w:rFonts w:cs="Arial"/>
          <w:sz w:val="22"/>
          <w:szCs w:val="22"/>
        </w:rPr>
        <w:t xml:space="preserve">received </w:t>
      </w:r>
      <w:r w:rsidR="00772F2D">
        <w:rPr>
          <w:rFonts w:cs="Arial"/>
          <w:sz w:val="22"/>
          <w:szCs w:val="22"/>
        </w:rPr>
        <w:t>a</w:t>
      </w:r>
      <w:r>
        <w:rPr>
          <w:rFonts w:cs="Arial"/>
          <w:sz w:val="22"/>
          <w:szCs w:val="22"/>
        </w:rPr>
        <w:t xml:space="preserve"> legislative appropriation </w:t>
      </w:r>
      <w:r w:rsidR="00772F2D">
        <w:rPr>
          <w:rFonts w:cs="Arial"/>
          <w:sz w:val="22"/>
          <w:szCs w:val="22"/>
        </w:rPr>
        <w:t>for FY14</w:t>
      </w:r>
      <w:r>
        <w:rPr>
          <w:rFonts w:cs="Arial"/>
          <w:sz w:val="22"/>
          <w:szCs w:val="22"/>
        </w:rPr>
        <w:t xml:space="preserve">, </w:t>
      </w:r>
      <w:r w:rsidR="00E83233">
        <w:rPr>
          <w:rFonts w:cs="Arial"/>
          <w:sz w:val="22"/>
          <w:szCs w:val="22"/>
        </w:rPr>
        <w:t xml:space="preserve">a Planning Committee of </w:t>
      </w:r>
      <w:r>
        <w:rPr>
          <w:rFonts w:cs="Arial"/>
          <w:sz w:val="22"/>
          <w:szCs w:val="22"/>
        </w:rPr>
        <w:t>the ISC</w:t>
      </w:r>
      <w:r w:rsidR="00E83233">
        <w:rPr>
          <w:rFonts w:cs="Arial"/>
          <w:sz w:val="22"/>
          <w:szCs w:val="22"/>
        </w:rPr>
        <w:t xml:space="preserve"> was formed to help guide the planning approach.  The</w:t>
      </w:r>
      <w:r>
        <w:rPr>
          <w:rFonts w:cs="Arial"/>
          <w:sz w:val="22"/>
          <w:szCs w:val="22"/>
        </w:rPr>
        <w:t xml:space="preserve"> </w:t>
      </w:r>
      <w:r w:rsidR="00431E12">
        <w:rPr>
          <w:rFonts w:cs="Arial"/>
          <w:sz w:val="22"/>
          <w:szCs w:val="22"/>
        </w:rPr>
        <w:t>P</w:t>
      </w:r>
      <w:r w:rsidR="00EC7F3A">
        <w:rPr>
          <w:rFonts w:cs="Arial"/>
          <w:sz w:val="22"/>
          <w:szCs w:val="22"/>
        </w:rPr>
        <w:t xml:space="preserve">lanning </w:t>
      </w:r>
      <w:r w:rsidR="00431E12">
        <w:rPr>
          <w:rFonts w:cs="Arial"/>
          <w:sz w:val="22"/>
          <w:szCs w:val="22"/>
        </w:rPr>
        <w:t>C</w:t>
      </w:r>
      <w:r w:rsidR="00EC7F3A">
        <w:rPr>
          <w:rFonts w:cs="Arial"/>
          <w:sz w:val="22"/>
          <w:szCs w:val="22"/>
        </w:rPr>
        <w:t>ommittee</w:t>
      </w:r>
      <w:r w:rsidR="00C50B8A">
        <w:rPr>
          <w:rFonts w:cs="Arial"/>
          <w:sz w:val="22"/>
          <w:szCs w:val="22"/>
        </w:rPr>
        <w:t xml:space="preserve"> </w:t>
      </w:r>
      <w:r w:rsidR="00EC7F3A" w:rsidRPr="00EC7F3A">
        <w:rPr>
          <w:rFonts w:cs="Arial"/>
          <w:sz w:val="22"/>
          <w:szCs w:val="22"/>
        </w:rPr>
        <w:t xml:space="preserve">developed an approach </w:t>
      </w:r>
      <w:r>
        <w:rPr>
          <w:rFonts w:cs="Arial"/>
          <w:sz w:val="22"/>
          <w:szCs w:val="22"/>
        </w:rPr>
        <w:t>to update all</w:t>
      </w:r>
      <w:r w:rsidR="00EC7F3A" w:rsidRPr="00EC7F3A">
        <w:rPr>
          <w:rFonts w:cs="Arial"/>
          <w:sz w:val="22"/>
          <w:szCs w:val="22"/>
        </w:rPr>
        <w:t xml:space="preserve"> 16 regional </w:t>
      </w:r>
      <w:r>
        <w:rPr>
          <w:rFonts w:cs="Arial"/>
          <w:sz w:val="22"/>
          <w:szCs w:val="22"/>
        </w:rPr>
        <w:t xml:space="preserve">water </w:t>
      </w:r>
      <w:r w:rsidR="00EC7F3A" w:rsidRPr="00EC7F3A">
        <w:rPr>
          <w:rFonts w:cs="Arial"/>
          <w:sz w:val="22"/>
          <w:szCs w:val="22"/>
        </w:rPr>
        <w:t>plans</w:t>
      </w:r>
      <w:r w:rsidR="00B25E9E">
        <w:rPr>
          <w:rFonts w:cs="Arial"/>
          <w:sz w:val="22"/>
          <w:szCs w:val="22"/>
        </w:rPr>
        <w:t xml:space="preserve"> concurrently</w:t>
      </w:r>
      <w:r w:rsidR="00EC7F3A" w:rsidRPr="00EC7F3A">
        <w:rPr>
          <w:rFonts w:cs="Arial"/>
          <w:sz w:val="22"/>
          <w:szCs w:val="22"/>
        </w:rPr>
        <w:t xml:space="preserve"> and </w:t>
      </w:r>
      <w:r>
        <w:rPr>
          <w:rFonts w:cs="Arial"/>
          <w:sz w:val="22"/>
          <w:szCs w:val="22"/>
        </w:rPr>
        <w:t xml:space="preserve">provide updated information from all the regions </w:t>
      </w:r>
      <w:r w:rsidR="00B25E9E">
        <w:rPr>
          <w:rFonts w:cs="Arial"/>
          <w:sz w:val="22"/>
          <w:szCs w:val="22"/>
        </w:rPr>
        <w:t xml:space="preserve">culminating in an </w:t>
      </w:r>
      <w:r w:rsidR="00EC7F3A" w:rsidRPr="00EC7F3A">
        <w:rPr>
          <w:rFonts w:cs="Arial"/>
          <w:sz w:val="22"/>
          <w:szCs w:val="22"/>
        </w:rPr>
        <w:t>updat</w:t>
      </w:r>
      <w:r w:rsidR="00B25E9E">
        <w:rPr>
          <w:rFonts w:cs="Arial"/>
          <w:sz w:val="22"/>
          <w:szCs w:val="22"/>
        </w:rPr>
        <w:t>ed</w:t>
      </w:r>
      <w:r w:rsidR="00C50B8A">
        <w:rPr>
          <w:rFonts w:cs="Arial"/>
          <w:sz w:val="22"/>
          <w:szCs w:val="22"/>
        </w:rPr>
        <w:t xml:space="preserve"> </w:t>
      </w:r>
      <w:r w:rsidR="00EC7F3A" w:rsidRPr="00EC7F3A">
        <w:rPr>
          <w:rFonts w:cs="Arial"/>
          <w:sz w:val="22"/>
          <w:szCs w:val="22"/>
        </w:rPr>
        <w:t xml:space="preserve">state water plan. </w:t>
      </w:r>
      <w:r w:rsidR="00C50B8A">
        <w:rPr>
          <w:rFonts w:cs="Arial"/>
          <w:sz w:val="22"/>
          <w:szCs w:val="22"/>
        </w:rPr>
        <w:t xml:space="preserve">The state’s </w:t>
      </w:r>
      <w:r>
        <w:rPr>
          <w:rFonts w:cs="Arial"/>
          <w:sz w:val="22"/>
          <w:szCs w:val="22"/>
        </w:rPr>
        <w:t xml:space="preserve">16 </w:t>
      </w:r>
      <w:r w:rsidR="00C50B8A">
        <w:rPr>
          <w:rFonts w:cs="Arial"/>
          <w:sz w:val="22"/>
          <w:szCs w:val="22"/>
        </w:rPr>
        <w:t xml:space="preserve">water planning regions have </w:t>
      </w:r>
      <w:r>
        <w:rPr>
          <w:rFonts w:cs="Arial"/>
          <w:sz w:val="22"/>
          <w:szCs w:val="22"/>
        </w:rPr>
        <w:t xml:space="preserve">developed </w:t>
      </w:r>
      <w:r w:rsidR="00C50B8A">
        <w:rPr>
          <w:rFonts w:cs="Arial"/>
          <w:sz w:val="22"/>
          <w:szCs w:val="22"/>
        </w:rPr>
        <w:t xml:space="preserve">their water plans </w:t>
      </w:r>
      <w:r>
        <w:rPr>
          <w:rFonts w:cs="Arial"/>
          <w:sz w:val="22"/>
          <w:szCs w:val="22"/>
        </w:rPr>
        <w:t>over the previous two decades</w:t>
      </w:r>
      <w:r w:rsidR="00C50B8A">
        <w:rPr>
          <w:rFonts w:cs="Arial"/>
          <w:sz w:val="22"/>
          <w:szCs w:val="22"/>
        </w:rPr>
        <w:t xml:space="preserve"> but </w:t>
      </w:r>
      <w:r>
        <w:rPr>
          <w:rFonts w:cs="Arial"/>
          <w:sz w:val="22"/>
          <w:szCs w:val="22"/>
        </w:rPr>
        <w:t xml:space="preserve">at different times. Some regions have updated their plans, but never have all plans been current. </w:t>
      </w:r>
      <w:r w:rsidR="00F42255">
        <w:rPr>
          <w:rFonts w:cs="Arial"/>
          <w:sz w:val="22"/>
          <w:szCs w:val="22"/>
        </w:rPr>
        <w:t xml:space="preserve">Although </w:t>
      </w:r>
      <w:r>
        <w:rPr>
          <w:rFonts w:cs="Arial"/>
          <w:sz w:val="22"/>
          <w:szCs w:val="22"/>
        </w:rPr>
        <w:t xml:space="preserve">a template was written to guide the plans, regions chose differing methodologies </w:t>
      </w:r>
      <w:r w:rsidR="00451481">
        <w:rPr>
          <w:rFonts w:cs="Arial"/>
          <w:sz w:val="22"/>
          <w:szCs w:val="22"/>
        </w:rPr>
        <w:t xml:space="preserve">(and consultants) </w:t>
      </w:r>
      <w:r>
        <w:rPr>
          <w:rFonts w:cs="Arial"/>
          <w:sz w:val="22"/>
          <w:szCs w:val="22"/>
        </w:rPr>
        <w:t>to quantify and characterize their water supplies, demands, and population growth. As a result, the regions do not paint the state’s “big picture” of water supply and demand accurately, as the data is inconsistent, or in the case of many plans</w:t>
      </w:r>
      <w:r w:rsidR="000638C1">
        <w:rPr>
          <w:rFonts w:cs="Arial"/>
          <w:sz w:val="22"/>
          <w:szCs w:val="22"/>
        </w:rPr>
        <w:t>, outdated</w:t>
      </w:r>
      <w:r>
        <w:rPr>
          <w:rFonts w:cs="Arial"/>
          <w:sz w:val="22"/>
          <w:szCs w:val="22"/>
        </w:rPr>
        <w:t xml:space="preserve">. </w:t>
      </w:r>
      <w:r w:rsidR="00431E12">
        <w:rPr>
          <w:rFonts w:cs="Arial"/>
          <w:sz w:val="22"/>
          <w:szCs w:val="22"/>
        </w:rPr>
        <w:t xml:space="preserve"> </w:t>
      </w:r>
      <w:r w:rsidR="00451481">
        <w:rPr>
          <w:rFonts w:cs="Arial"/>
          <w:sz w:val="22"/>
          <w:szCs w:val="22"/>
        </w:rPr>
        <w:t xml:space="preserve">Updating the regional water plans in conjunction with the State Water Plan will provide New Mexicans with tools to better prepare and address water challenges that beset us.   </w:t>
      </w:r>
    </w:p>
    <w:p w:rsidR="009C7917" w:rsidRDefault="009C7917" w:rsidP="00EC7F3A">
      <w:pPr>
        <w:ind w:right="540"/>
        <w:rPr>
          <w:rFonts w:cs="Arial"/>
          <w:sz w:val="22"/>
          <w:szCs w:val="22"/>
        </w:rPr>
      </w:pPr>
    </w:p>
    <w:p w:rsidR="00FB1099" w:rsidRDefault="00B650F7" w:rsidP="00EC7F3A">
      <w:pPr>
        <w:ind w:right="540"/>
        <w:rPr>
          <w:rFonts w:cs="Arial"/>
          <w:sz w:val="22"/>
          <w:szCs w:val="22"/>
        </w:rPr>
      </w:pPr>
      <w:r>
        <w:rPr>
          <w:rFonts w:cs="Arial"/>
          <w:sz w:val="22"/>
          <w:szCs w:val="22"/>
        </w:rPr>
        <w:t xml:space="preserve">The approach involves the </w:t>
      </w:r>
      <w:r w:rsidR="00146179" w:rsidRPr="00EC7F3A">
        <w:rPr>
          <w:rFonts w:cs="Arial"/>
          <w:sz w:val="22"/>
          <w:szCs w:val="22"/>
        </w:rPr>
        <w:t>ISC</w:t>
      </w:r>
      <w:r w:rsidR="00E83233">
        <w:rPr>
          <w:rFonts w:cs="Arial"/>
          <w:sz w:val="22"/>
          <w:szCs w:val="22"/>
        </w:rPr>
        <w:t>,</w:t>
      </w:r>
      <w:r w:rsidR="00451481">
        <w:rPr>
          <w:rFonts w:cs="Arial"/>
          <w:sz w:val="22"/>
          <w:szCs w:val="22"/>
        </w:rPr>
        <w:t xml:space="preserve"> through consultants working in cooperation with selected ISC and </w:t>
      </w:r>
      <w:r w:rsidR="00E83233">
        <w:rPr>
          <w:rFonts w:cs="Arial"/>
          <w:sz w:val="22"/>
          <w:szCs w:val="22"/>
        </w:rPr>
        <w:t>Office of the State Engineer (</w:t>
      </w:r>
      <w:r w:rsidR="00451481">
        <w:rPr>
          <w:rFonts w:cs="Arial"/>
          <w:sz w:val="22"/>
          <w:szCs w:val="22"/>
        </w:rPr>
        <w:t>OSE</w:t>
      </w:r>
      <w:r w:rsidR="00E83233">
        <w:rPr>
          <w:rFonts w:cs="Arial"/>
          <w:sz w:val="22"/>
          <w:szCs w:val="22"/>
        </w:rPr>
        <w:t>)</w:t>
      </w:r>
      <w:r w:rsidR="00451481">
        <w:rPr>
          <w:rFonts w:cs="Arial"/>
          <w:sz w:val="22"/>
          <w:szCs w:val="22"/>
        </w:rPr>
        <w:t xml:space="preserve"> technical staff</w:t>
      </w:r>
      <w:r w:rsidR="00E83233">
        <w:rPr>
          <w:rFonts w:cs="Arial"/>
          <w:sz w:val="22"/>
          <w:szCs w:val="22"/>
        </w:rPr>
        <w:t>,</w:t>
      </w:r>
      <w:r w:rsidR="00146179" w:rsidRPr="00EC7F3A">
        <w:rPr>
          <w:rFonts w:cs="Arial"/>
          <w:sz w:val="22"/>
          <w:szCs w:val="22"/>
        </w:rPr>
        <w:t xml:space="preserve"> calculat</w:t>
      </w:r>
      <w:r w:rsidR="00451481">
        <w:rPr>
          <w:rFonts w:cs="Arial"/>
          <w:sz w:val="22"/>
          <w:szCs w:val="22"/>
        </w:rPr>
        <w:t>ing</w:t>
      </w:r>
      <w:r w:rsidR="00146179" w:rsidRPr="00EC7F3A">
        <w:rPr>
          <w:rFonts w:cs="Arial"/>
          <w:sz w:val="22"/>
          <w:szCs w:val="22"/>
        </w:rPr>
        <w:t xml:space="preserve"> water supply and demand using a common methodology. </w:t>
      </w:r>
      <w:r>
        <w:rPr>
          <w:rFonts w:cs="Arial"/>
          <w:sz w:val="22"/>
          <w:szCs w:val="22"/>
        </w:rPr>
        <w:t xml:space="preserve">The </w:t>
      </w:r>
      <w:r w:rsidR="00146179" w:rsidRPr="00EC7F3A">
        <w:rPr>
          <w:rFonts w:cs="Arial"/>
          <w:sz w:val="22"/>
          <w:szCs w:val="22"/>
        </w:rPr>
        <w:t xml:space="preserve">ISC also </w:t>
      </w:r>
      <w:r>
        <w:rPr>
          <w:rFonts w:cs="Arial"/>
          <w:sz w:val="22"/>
          <w:szCs w:val="22"/>
        </w:rPr>
        <w:t xml:space="preserve">will </w:t>
      </w:r>
      <w:r w:rsidR="00146179" w:rsidRPr="00EC7F3A">
        <w:rPr>
          <w:rFonts w:cs="Arial"/>
          <w:sz w:val="22"/>
          <w:szCs w:val="22"/>
        </w:rPr>
        <w:t xml:space="preserve">provide population projections and economic forecasts, with input from the regions, to help estimate future water use. </w:t>
      </w:r>
      <w:r w:rsidR="00F42255">
        <w:rPr>
          <w:rFonts w:cs="Arial"/>
          <w:sz w:val="22"/>
          <w:szCs w:val="22"/>
        </w:rPr>
        <w:t xml:space="preserve"> </w:t>
      </w:r>
    </w:p>
    <w:p w:rsidR="00FB1099" w:rsidRDefault="00FB1099" w:rsidP="00EC7F3A">
      <w:pPr>
        <w:ind w:right="540"/>
        <w:rPr>
          <w:rFonts w:cs="Arial"/>
          <w:sz w:val="22"/>
          <w:szCs w:val="22"/>
        </w:rPr>
      </w:pPr>
    </w:p>
    <w:p w:rsidR="00014154" w:rsidRDefault="00431E12" w:rsidP="00EC7F3A">
      <w:pPr>
        <w:ind w:right="540"/>
        <w:rPr>
          <w:rFonts w:cs="Arial"/>
          <w:sz w:val="22"/>
          <w:szCs w:val="22"/>
        </w:rPr>
      </w:pPr>
      <w:r>
        <w:rPr>
          <w:rFonts w:cs="Arial"/>
          <w:sz w:val="22"/>
          <w:szCs w:val="22"/>
        </w:rPr>
        <w:t xml:space="preserve">Currently, the technical work and regional steering committee formation are </w:t>
      </w:r>
      <w:r w:rsidR="000638C1">
        <w:rPr>
          <w:rFonts w:cs="Arial"/>
          <w:sz w:val="22"/>
          <w:szCs w:val="22"/>
        </w:rPr>
        <w:t>preceding</w:t>
      </w:r>
      <w:r>
        <w:rPr>
          <w:rFonts w:cs="Arial"/>
          <w:sz w:val="22"/>
          <w:szCs w:val="22"/>
        </w:rPr>
        <w:t xml:space="preserve"> on  parallel track</w:t>
      </w:r>
      <w:r w:rsidR="00E83233">
        <w:rPr>
          <w:rFonts w:cs="Arial"/>
          <w:sz w:val="22"/>
          <w:szCs w:val="22"/>
        </w:rPr>
        <w:t>s</w:t>
      </w:r>
      <w:r>
        <w:rPr>
          <w:rFonts w:cs="Arial"/>
          <w:sz w:val="22"/>
          <w:szCs w:val="22"/>
        </w:rPr>
        <w:t xml:space="preserve">, with the “common technical platform” reports for each region to </w:t>
      </w:r>
      <w:r w:rsidR="000638C1">
        <w:rPr>
          <w:rFonts w:cs="Arial"/>
          <w:sz w:val="22"/>
          <w:szCs w:val="22"/>
        </w:rPr>
        <w:t xml:space="preserve">be </w:t>
      </w:r>
      <w:r w:rsidR="00E83233">
        <w:rPr>
          <w:rFonts w:cs="Arial"/>
          <w:sz w:val="22"/>
          <w:szCs w:val="22"/>
        </w:rPr>
        <w:t xml:space="preserve">provided to and </w:t>
      </w:r>
      <w:r w:rsidR="000638C1">
        <w:rPr>
          <w:rFonts w:cs="Arial"/>
          <w:sz w:val="22"/>
          <w:szCs w:val="22"/>
        </w:rPr>
        <w:t>discussed</w:t>
      </w:r>
      <w:r w:rsidR="00B650F7">
        <w:rPr>
          <w:rFonts w:cs="Arial"/>
          <w:sz w:val="22"/>
          <w:szCs w:val="22"/>
        </w:rPr>
        <w:t xml:space="preserve"> with the regions</w:t>
      </w:r>
      <w:r>
        <w:rPr>
          <w:rFonts w:cs="Arial"/>
          <w:sz w:val="22"/>
          <w:szCs w:val="22"/>
        </w:rPr>
        <w:t xml:space="preserve"> in the fall of 2014. </w:t>
      </w:r>
      <w:r w:rsidR="00014154">
        <w:rPr>
          <w:rFonts w:cs="Arial"/>
          <w:sz w:val="22"/>
          <w:szCs w:val="22"/>
        </w:rPr>
        <w:t xml:space="preserve">Along with development of these reports, the ISC has </w:t>
      </w:r>
      <w:r w:rsidR="00E83233">
        <w:rPr>
          <w:rFonts w:cs="Arial"/>
          <w:sz w:val="22"/>
          <w:szCs w:val="22"/>
        </w:rPr>
        <w:t xml:space="preserve">to date </w:t>
      </w:r>
      <w:r w:rsidR="00014154">
        <w:rPr>
          <w:rFonts w:cs="Arial"/>
          <w:sz w:val="22"/>
          <w:szCs w:val="22"/>
        </w:rPr>
        <w:t xml:space="preserve">met </w:t>
      </w:r>
      <w:r w:rsidR="000638C1">
        <w:rPr>
          <w:rFonts w:cs="Arial"/>
          <w:sz w:val="22"/>
          <w:szCs w:val="22"/>
        </w:rPr>
        <w:t>with water</w:t>
      </w:r>
      <w:r w:rsidR="00B650F7">
        <w:rPr>
          <w:rFonts w:cs="Arial"/>
          <w:sz w:val="22"/>
          <w:szCs w:val="22"/>
        </w:rPr>
        <w:t xml:space="preserve"> </w:t>
      </w:r>
      <w:r w:rsidR="00014154">
        <w:rPr>
          <w:rFonts w:cs="Arial"/>
          <w:sz w:val="22"/>
          <w:szCs w:val="22"/>
        </w:rPr>
        <w:t xml:space="preserve">stakeholders in </w:t>
      </w:r>
      <w:r w:rsidR="00B650F7">
        <w:rPr>
          <w:rFonts w:cs="Arial"/>
          <w:sz w:val="22"/>
          <w:szCs w:val="22"/>
        </w:rPr>
        <w:t xml:space="preserve">12 of the </w:t>
      </w:r>
      <w:r w:rsidR="0013024B">
        <w:rPr>
          <w:rFonts w:cs="Arial"/>
          <w:sz w:val="22"/>
          <w:szCs w:val="22"/>
        </w:rPr>
        <w:t xml:space="preserve">16 </w:t>
      </w:r>
      <w:r w:rsidR="00B650F7">
        <w:rPr>
          <w:rFonts w:cs="Arial"/>
          <w:sz w:val="22"/>
          <w:szCs w:val="22"/>
        </w:rPr>
        <w:t xml:space="preserve">regions to re-engage water planning steering committees comprised </w:t>
      </w:r>
      <w:r w:rsidR="000638C1">
        <w:rPr>
          <w:rFonts w:cs="Arial"/>
          <w:sz w:val="22"/>
          <w:szCs w:val="22"/>
        </w:rPr>
        <w:t>of representative</w:t>
      </w:r>
      <w:r w:rsidR="00014154">
        <w:rPr>
          <w:rFonts w:cs="Arial"/>
          <w:sz w:val="22"/>
          <w:szCs w:val="22"/>
        </w:rPr>
        <w:t xml:space="preserve"> groups</w:t>
      </w:r>
      <w:r w:rsidR="0013024B">
        <w:rPr>
          <w:rFonts w:cs="Arial"/>
          <w:sz w:val="22"/>
          <w:szCs w:val="22"/>
        </w:rPr>
        <w:t xml:space="preserve"> as outlined in the revised regional water planning handbook</w:t>
      </w:r>
      <w:r w:rsidR="00014154">
        <w:rPr>
          <w:rFonts w:cs="Arial"/>
          <w:sz w:val="22"/>
          <w:szCs w:val="22"/>
        </w:rPr>
        <w:t xml:space="preserve">. </w:t>
      </w:r>
      <w:r w:rsidR="0013024B">
        <w:rPr>
          <w:rFonts w:cs="Arial"/>
          <w:sz w:val="22"/>
          <w:szCs w:val="22"/>
        </w:rPr>
        <w:t>The ISC anticipates completing the first round of regional water planning meetings this June.</w:t>
      </w:r>
    </w:p>
    <w:tbl>
      <w:tblPr>
        <w:tblW w:w="406" w:type="dxa"/>
        <w:tblInd w:w="-72" w:type="dxa"/>
        <w:tblLook w:val="04A0" w:firstRow="1" w:lastRow="0" w:firstColumn="1" w:lastColumn="0" w:noHBand="0" w:noVBand="1"/>
      </w:tblPr>
      <w:tblGrid>
        <w:gridCol w:w="406"/>
      </w:tblGrid>
      <w:tr w:rsidR="00566C7D" w:rsidRPr="00566C7D" w:rsidTr="003B6B42">
        <w:trPr>
          <w:trHeight w:val="157"/>
        </w:trPr>
        <w:tc>
          <w:tcPr>
            <w:tcW w:w="406" w:type="dxa"/>
            <w:tcBorders>
              <w:top w:val="nil"/>
              <w:left w:val="nil"/>
              <w:bottom w:val="nil"/>
              <w:right w:val="nil"/>
            </w:tcBorders>
            <w:shd w:val="clear" w:color="auto" w:fill="auto"/>
            <w:vAlign w:val="bottom"/>
            <w:hideMark/>
          </w:tcPr>
          <w:p w:rsidR="00566C7D" w:rsidRDefault="00566C7D" w:rsidP="00566C7D">
            <w:pPr>
              <w:rPr>
                <w:rFonts w:ascii="Calibri" w:hAnsi="Calibri"/>
                <w:color w:val="000000"/>
                <w:sz w:val="22"/>
                <w:szCs w:val="22"/>
              </w:rPr>
            </w:pPr>
          </w:p>
          <w:p w:rsidR="00BD0CE0" w:rsidRDefault="00BD0CE0" w:rsidP="00566C7D">
            <w:pPr>
              <w:rPr>
                <w:rFonts w:ascii="Calibri" w:hAnsi="Calibri"/>
                <w:color w:val="000000"/>
                <w:sz w:val="22"/>
                <w:szCs w:val="22"/>
              </w:rPr>
            </w:pPr>
          </w:p>
          <w:p w:rsidR="00BD0CE0" w:rsidRDefault="00BD0CE0" w:rsidP="00566C7D">
            <w:pPr>
              <w:rPr>
                <w:rFonts w:ascii="Calibri" w:hAnsi="Calibri"/>
                <w:color w:val="000000"/>
                <w:sz w:val="22"/>
                <w:szCs w:val="22"/>
              </w:rPr>
            </w:pPr>
          </w:p>
          <w:p w:rsidR="00BD0CE0" w:rsidRDefault="00BD0CE0" w:rsidP="00566C7D">
            <w:pPr>
              <w:rPr>
                <w:rFonts w:ascii="Calibri" w:hAnsi="Calibri"/>
                <w:color w:val="000000"/>
                <w:sz w:val="22"/>
                <w:szCs w:val="22"/>
              </w:rPr>
            </w:pPr>
          </w:p>
          <w:p w:rsidR="00BD0CE0" w:rsidRPr="00566C7D" w:rsidRDefault="00BD0CE0" w:rsidP="00566C7D">
            <w:pPr>
              <w:rPr>
                <w:rFonts w:ascii="Calibri" w:hAnsi="Calibri"/>
                <w:color w:val="000000"/>
                <w:sz w:val="22"/>
                <w:szCs w:val="22"/>
              </w:rPr>
            </w:pPr>
          </w:p>
        </w:tc>
      </w:tr>
    </w:tbl>
    <w:p w:rsidR="00BD0CE0" w:rsidRDefault="00BD0CE0" w:rsidP="00BD0CE0">
      <w:pPr>
        <w:pStyle w:val="Footer"/>
        <w:tabs>
          <w:tab w:val="clear" w:pos="4320"/>
          <w:tab w:val="clear" w:pos="8640"/>
        </w:tabs>
        <w:rPr>
          <w:sz w:val="22"/>
          <w:szCs w:val="22"/>
        </w:rPr>
      </w:pPr>
    </w:p>
    <w:tbl>
      <w:tblPr>
        <w:tblStyle w:val="TableGrid"/>
        <w:tblW w:w="0" w:type="auto"/>
        <w:tblLook w:val="04A0" w:firstRow="1" w:lastRow="0" w:firstColumn="1" w:lastColumn="0" w:noHBand="0" w:noVBand="1"/>
      </w:tblPr>
      <w:tblGrid>
        <w:gridCol w:w="9576"/>
      </w:tblGrid>
      <w:tr w:rsidR="00BD0CE0" w:rsidRPr="00B0732D" w:rsidTr="00C45DD9">
        <w:tc>
          <w:tcPr>
            <w:tcW w:w="9576" w:type="dxa"/>
          </w:tcPr>
          <w:p w:rsidR="00BD0CE0" w:rsidRPr="00B0732D" w:rsidRDefault="00BD0CE0" w:rsidP="00C45DD9">
            <w:pPr>
              <w:pStyle w:val="Footer"/>
              <w:tabs>
                <w:tab w:val="clear" w:pos="4320"/>
                <w:tab w:val="clear" w:pos="8640"/>
              </w:tabs>
              <w:jc w:val="center"/>
              <w:rPr>
                <w:b/>
                <w:sz w:val="22"/>
                <w:szCs w:val="22"/>
              </w:rPr>
            </w:pPr>
            <w:r w:rsidRPr="00B0732D">
              <w:rPr>
                <w:b/>
                <w:sz w:val="22"/>
                <w:szCs w:val="22"/>
              </w:rPr>
              <w:t xml:space="preserve">Schedule and Tasks for Years 2013 – 2014 </w:t>
            </w:r>
            <w:r>
              <w:rPr>
                <w:b/>
                <w:sz w:val="22"/>
                <w:szCs w:val="22"/>
              </w:rPr>
              <w:t>–</w:t>
            </w:r>
            <w:r w:rsidRPr="00B0732D">
              <w:rPr>
                <w:b/>
                <w:sz w:val="22"/>
                <w:szCs w:val="22"/>
              </w:rPr>
              <w:t xml:space="preserve"> 2015</w:t>
            </w:r>
            <w:r>
              <w:rPr>
                <w:b/>
                <w:sz w:val="22"/>
                <w:szCs w:val="22"/>
              </w:rPr>
              <w:t xml:space="preserve"> </w:t>
            </w:r>
          </w:p>
        </w:tc>
      </w:tr>
      <w:tr w:rsidR="00BD0CE0" w:rsidRPr="00B0732D" w:rsidTr="00C45DD9">
        <w:tc>
          <w:tcPr>
            <w:tcW w:w="9576" w:type="dxa"/>
          </w:tcPr>
          <w:p w:rsidR="00BD0CE0" w:rsidRPr="00B0732D" w:rsidRDefault="00BD0CE0" w:rsidP="00C45DD9">
            <w:pPr>
              <w:pStyle w:val="Footer"/>
              <w:tabs>
                <w:tab w:val="clear" w:pos="4320"/>
                <w:tab w:val="clear" w:pos="8640"/>
              </w:tabs>
              <w:rPr>
                <w:b/>
                <w:i/>
                <w:sz w:val="22"/>
                <w:szCs w:val="22"/>
              </w:rPr>
            </w:pPr>
            <w:r w:rsidRPr="00B0732D">
              <w:rPr>
                <w:b/>
                <w:i/>
                <w:sz w:val="22"/>
                <w:szCs w:val="22"/>
              </w:rPr>
              <w:t>July – December 2013</w:t>
            </w:r>
          </w:p>
        </w:tc>
      </w:tr>
      <w:tr w:rsidR="00BD0CE0" w:rsidRPr="00FD273C" w:rsidTr="00C45DD9">
        <w:tc>
          <w:tcPr>
            <w:tcW w:w="9576" w:type="dxa"/>
          </w:tcPr>
          <w:p w:rsidR="00BD0CE0" w:rsidRPr="00FD273C" w:rsidRDefault="00BD0CE0" w:rsidP="00C45DD9">
            <w:pPr>
              <w:pStyle w:val="Footer"/>
              <w:numPr>
                <w:ilvl w:val="0"/>
                <w:numId w:val="10"/>
              </w:numPr>
              <w:tabs>
                <w:tab w:val="clear" w:pos="4320"/>
                <w:tab w:val="clear" w:pos="8640"/>
              </w:tabs>
              <w:rPr>
                <w:sz w:val="22"/>
                <w:szCs w:val="22"/>
              </w:rPr>
            </w:pPr>
            <w:r w:rsidRPr="00FD273C">
              <w:rPr>
                <w:sz w:val="22"/>
                <w:szCs w:val="22"/>
              </w:rPr>
              <w:t xml:space="preserve">Regional Water Planning Handbook </w:t>
            </w:r>
            <w:r>
              <w:rPr>
                <w:sz w:val="22"/>
                <w:szCs w:val="22"/>
              </w:rPr>
              <w:t>Revised</w:t>
            </w:r>
            <w:r w:rsidRPr="00FD273C">
              <w:rPr>
                <w:sz w:val="22"/>
                <w:szCs w:val="22"/>
              </w:rPr>
              <w:t xml:space="preserve"> - Complete, Dec</w:t>
            </w:r>
            <w:r>
              <w:rPr>
                <w:sz w:val="22"/>
                <w:szCs w:val="22"/>
              </w:rPr>
              <w:t>ember</w:t>
            </w:r>
            <w:r w:rsidRPr="00FD273C">
              <w:rPr>
                <w:sz w:val="22"/>
                <w:szCs w:val="22"/>
              </w:rPr>
              <w:t xml:space="preserve"> 2013</w:t>
            </w:r>
          </w:p>
        </w:tc>
      </w:tr>
      <w:tr w:rsidR="00BD0CE0" w:rsidRPr="00FD273C" w:rsidTr="00C45DD9">
        <w:tc>
          <w:tcPr>
            <w:tcW w:w="9576" w:type="dxa"/>
          </w:tcPr>
          <w:p w:rsidR="00BD0CE0" w:rsidRPr="00FD273C" w:rsidRDefault="00BD0CE0" w:rsidP="00C45DD9">
            <w:pPr>
              <w:pStyle w:val="Footer"/>
              <w:numPr>
                <w:ilvl w:val="0"/>
                <w:numId w:val="10"/>
              </w:numPr>
              <w:tabs>
                <w:tab w:val="clear" w:pos="4320"/>
                <w:tab w:val="clear" w:pos="8640"/>
              </w:tabs>
              <w:rPr>
                <w:sz w:val="22"/>
                <w:szCs w:val="22"/>
              </w:rPr>
            </w:pPr>
            <w:r w:rsidRPr="00FD273C">
              <w:rPr>
                <w:sz w:val="22"/>
                <w:szCs w:val="22"/>
              </w:rPr>
              <w:t>Water Use by Categories Report published by OSE (key data source for water planning)  Complete,  Oct</w:t>
            </w:r>
            <w:r>
              <w:rPr>
                <w:sz w:val="22"/>
                <w:szCs w:val="22"/>
              </w:rPr>
              <w:t>ober</w:t>
            </w:r>
            <w:r w:rsidRPr="00FD273C">
              <w:rPr>
                <w:sz w:val="22"/>
                <w:szCs w:val="22"/>
              </w:rPr>
              <w:t xml:space="preserve"> 2013 </w:t>
            </w:r>
          </w:p>
        </w:tc>
      </w:tr>
      <w:tr w:rsidR="00BD0CE0" w:rsidRPr="00FD273C" w:rsidTr="00C45DD9">
        <w:tc>
          <w:tcPr>
            <w:tcW w:w="9576" w:type="dxa"/>
          </w:tcPr>
          <w:p w:rsidR="00BD0CE0" w:rsidRPr="00FD273C" w:rsidRDefault="00BD0CE0" w:rsidP="00C45DD9">
            <w:pPr>
              <w:pStyle w:val="Footer"/>
              <w:numPr>
                <w:ilvl w:val="0"/>
                <w:numId w:val="10"/>
              </w:numPr>
              <w:tabs>
                <w:tab w:val="clear" w:pos="4320"/>
                <w:tab w:val="clear" w:pos="8640"/>
              </w:tabs>
              <w:rPr>
                <w:sz w:val="22"/>
                <w:szCs w:val="22"/>
              </w:rPr>
            </w:pPr>
            <w:r w:rsidRPr="00FD273C">
              <w:rPr>
                <w:sz w:val="22"/>
                <w:szCs w:val="22"/>
              </w:rPr>
              <w:t>New Planning Approach Kick-off Meeting for Interested Stakeholders</w:t>
            </w:r>
            <w:r>
              <w:rPr>
                <w:sz w:val="22"/>
                <w:szCs w:val="22"/>
              </w:rPr>
              <w:t xml:space="preserve"> and Public</w:t>
            </w:r>
            <w:r w:rsidRPr="00FD273C">
              <w:rPr>
                <w:sz w:val="22"/>
                <w:szCs w:val="22"/>
              </w:rPr>
              <w:t>, Complete, Dec</w:t>
            </w:r>
            <w:r>
              <w:rPr>
                <w:sz w:val="22"/>
                <w:szCs w:val="22"/>
              </w:rPr>
              <w:t>ember</w:t>
            </w:r>
            <w:r w:rsidRPr="00FD273C">
              <w:rPr>
                <w:sz w:val="22"/>
                <w:szCs w:val="22"/>
              </w:rPr>
              <w:t xml:space="preserve"> 2013</w:t>
            </w:r>
          </w:p>
        </w:tc>
      </w:tr>
      <w:tr w:rsidR="00BD0CE0" w:rsidRPr="0003590E" w:rsidTr="00C45DD9">
        <w:tc>
          <w:tcPr>
            <w:tcW w:w="9576" w:type="dxa"/>
          </w:tcPr>
          <w:p w:rsidR="00BD0CE0" w:rsidRPr="0003590E" w:rsidRDefault="00BD0CE0" w:rsidP="00C45DD9">
            <w:pPr>
              <w:pStyle w:val="Footer"/>
              <w:tabs>
                <w:tab w:val="clear" w:pos="4320"/>
                <w:tab w:val="clear" w:pos="8640"/>
              </w:tabs>
              <w:rPr>
                <w:b/>
                <w:i/>
                <w:sz w:val="22"/>
                <w:szCs w:val="22"/>
              </w:rPr>
            </w:pPr>
            <w:r w:rsidRPr="0003590E">
              <w:rPr>
                <w:b/>
                <w:i/>
                <w:sz w:val="22"/>
                <w:szCs w:val="22"/>
              </w:rPr>
              <w:t xml:space="preserve">January – June  2014 </w:t>
            </w:r>
          </w:p>
        </w:tc>
      </w:tr>
      <w:tr w:rsidR="00BD0CE0" w:rsidRPr="00171FB1" w:rsidTr="00C45DD9">
        <w:tc>
          <w:tcPr>
            <w:tcW w:w="9576" w:type="dxa"/>
          </w:tcPr>
          <w:p w:rsidR="00BD0CE0" w:rsidRPr="00171FB1" w:rsidRDefault="00BD0CE0" w:rsidP="00C45DD9">
            <w:pPr>
              <w:pStyle w:val="Footer"/>
              <w:numPr>
                <w:ilvl w:val="0"/>
                <w:numId w:val="13"/>
              </w:numPr>
              <w:tabs>
                <w:tab w:val="clear" w:pos="4320"/>
                <w:tab w:val="clear" w:pos="8640"/>
              </w:tabs>
              <w:rPr>
                <w:sz w:val="22"/>
                <w:szCs w:val="22"/>
              </w:rPr>
            </w:pPr>
            <w:r>
              <w:rPr>
                <w:sz w:val="22"/>
                <w:szCs w:val="22"/>
              </w:rPr>
              <w:t>ISC Water Planning Manager and Facilitation Consultant T</w:t>
            </w:r>
            <w:r w:rsidRPr="00FD273C">
              <w:rPr>
                <w:sz w:val="22"/>
                <w:szCs w:val="22"/>
              </w:rPr>
              <w:t xml:space="preserve">eam </w:t>
            </w:r>
            <w:r>
              <w:rPr>
                <w:sz w:val="22"/>
                <w:szCs w:val="22"/>
              </w:rPr>
              <w:t xml:space="preserve">conduct outreach and </w:t>
            </w:r>
            <w:r w:rsidRPr="00FD273C">
              <w:rPr>
                <w:sz w:val="22"/>
                <w:szCs w:val="22"/>
              </w:rPr>
              <w:t xml:space="preserve">convene </w:t>
            </w:r>
            <w:r>
              <w:rPr>
                <w:sz w:val="22"/>
                <w:szCs w:val="22"/>
              </w:rPr>
              <w:t xml:space="preserve">key water </w:t>
            </w:r>
            <w:r w:rsidRPr="00FD273C">
              <w:rPr>
                <w:sz w:val="22"/>
                <w:szCs w:val="22"/>
              </w:rPr>
              <w:t>stakeholders in 16 planning regions</w:t>
            </w:r>
            <w:r>
              <w:rPr>
                <w:sz w:val="22"/>
                <w:szCs w:val="22"/>
              </w:rPr>
              <w:t>* (see list of meetings held)</w:t>
            </w:r>
          </w:p>
        </w:tc>
      </w:tr>
      <w:tr w:rsidR="00BD0CE0" w:rsidTr="00C45DD9">
        <w:tc>
          <w:tcPr>
            <w:tcW w:w="9576" w:type="dxa"/>
          </w:tcPr>
          <w:p w:rsidR="00BD0CE0" w:rsidRDefault="00BD0CE0" w:rsidP="00C45DD9">
            <w:pPr>
              <w:pStyle w:val="Footer"/>
              <w:numPr>
                <w:ilvl w:val="0"/>
                <w:numId w:val="13"/>
              </w:numPr>
              <w:tabs>
                <w:tab w:val="clear" w:pos="4320"/>
                <w:tab w:val="clear" w:pos="8640"/>
              </w:tabs>
              <w:rPr>
                <w:sz w:val="22"/>
                <w:szCs w:val="22"/>
              </w:rPr>
            </w:pPr>
            <w:r w:rsidRPr="00FD273C">
              <w:rPr>
                <w:sz w:val="22"/>
                <w:szCs w:val="22"/>
              </w:rPr>
              <w:t>Technical data</w:t>
            </w:r>
            <w:r>
              <w:rPr>
                <w:sz w:val="22"/>
                <w:szCs w:val="22"/>
              </w:rPr>
              <w:t xml:space="preserve"> (Water Supply, Demand, Population and Economic Study, Legal Issues) </w:t>
            </w:r>
            <w:r w:rsidRPr="00FD273C">
              <w:rPr>
                <w:sz w:val="22"/>
                <w:szCs w:val="22"/>
              </w:rPr>
              <w:t xml:space="preserve">for 16 regions </w:t>
            </w:r>
            <w:r>
              <w:rPr>
                <w:sz w:val="22"/>
                <w:szCs w:val="22"/>
              </w:rPr>
              <w:t>compil</w:t>
            </w:r>
            <w:r w:rsidR="00772F2D">
              <w:rPr>
                <w:sz w:val="22"/>
                <w:szCs w:val="22"/>
              </w:rPr>
              <w:t>e</w:t>
            </w:r>
            <w:r>
              <w:rPr>
                <w:sz w:val="22"/>
                <w:szCs w:val="22"/>
              </w:rPr>
              <w:t xml:space="preserve">d </w:t>
            </w:r>
          </w:p>
        </w:tc>
      </w:tr>
      <w:tr w:rsidR="00BD0CE0" w:rsidRPr="00FD273C" w:rsidTr="00C45DD9">
        <w:tc>
          <w:tcPr>
            <w:tcW w:w="9576" w:type="dxa"/>
          </w:tcPr>
          <w:p w:rsidR="00BD0CE0" w:rsidRPr="00FD273C" w:rsidRDefault="00BD0CE0" w:rsidP="00C45DD9">
            <w:pPr>
              <w:pStyle w:val="Footer"/>
              <w:numPr>
                <w:ilvl w:val="0"/>
                <w:numId w:val="13"/>
              </w:numPr>
              <w:tabs>
                <w:tab w:val="clear" w:pos="4320"/>
                <w:tab w:val="clear" w:pos="8640"/>
              </w:tabs>
              <w:rPr>
                <w:sz w:val="22"/>
                <w:szCs w:val="22"/>
              </w:rPr>
            </w:pPr>
            <w:r w:rsidRPr="00FD273C">
              <w:rPr>
                <w:sz w:val="22"/>
                <w:szCs w:val="22"/>
              </w:rPr>
              <w:t xml:space="preserve">Population and economic outlook study for 16 regions – projected water demand </w:t>
            </w:r>
          </w:p>
        </w:tc>
      </w:tr>
      <w:tr w:rsidR="00BD0CE0" w:rsidRPr="00FD273C" w:rsidTr="00C45DD9">
        <w:tc>
          <w:tcPr>
            <w:tcW w:w="9576" w:type="dxa"/>
          </w:tcPr>
          <w:p w:rsidR="00BD0CE0" w:rsidRPr="00FD273C" w:rsidRDefault="00BD0CE0" w:rsidP="00C45DD9">
            <w:pPr>
              <w:pStyle w:val="Footer"/>
              <w:tabs>
                <w:tab w:val="clear" w:pos="4320"/>
                <w:tab w:val="clear" w:pos="8640"/>
              </w:tabs>
              <w:rPr>
                <w:sz w:val="22"/>
                <w:szCs w:val="22"/>
              </w:rPr>
            </w:pPr>
            <w:r w:rsidRPr="000E2BFE">
              <w:rPr>
                <w:b/>
                <w:i/>
                <w:sz w:val="22"/>
                <w:szCs w:val="22"/>
              </w:rPr>
              <w:t>July – December 2014</w:t>
            </w:r>
          </w:p>
        </w:tc>
      </w:tr>
      <w:tr w:rsidR="00BD0CE0" w:rsidTr="00C45DD9">
        <w:tc>
          <w:tcPr>
            <w:tcW w:w="9576" w:type="dxa"/>
          </w:tcPr>
          <w:p w:rsidR="00BD0CE0" w:rsidRDefault="00BD0CE0" w:rsidP="00C45DD9">
            <w:pPr>
              <w:pStyle w:val="Footer"/>
              <w:numPr>
                <w:ilvl w:val="0"/>
                <w:numId w:val="15"/>
              </w:numPr>
              <w:tabs>
                <w:tab w:val="clear" w:pos="4320"/>
                <w:tab w:val="clear" w:pos="8640"/>
              </w:tabs>
              <w:rPr>
                <w:sz w:val="22"/>
                <w:szCs w:val="22"/>
              </w:rPr>
            </w:pPr>
            <w:r>
              <w:rPr>
                <w:sz w:val="22"/>
                <w:szCs w:val="22"/>
              </w:rPr>
              <w:t>Phase</w:t>
            </w:r>
            <w:r w:rsidRPr="00FD273C">
              <w:rPr>
                <w:sz w:val="22"/>
                <w:szCs w:val="22"/>
              </w:rPr>
              <w:t xml:space="preserve"> 2 </w:t>
            </w:r>
            <w:r>
              <w:rPr>
                <w:sz w:val="22"/>
                <w:szCs w:val="22"/>
              </w:rPr>
              <w:t>Regional Meetings  - continue development of functioning steering committee</w:t>
            </w:r>
          </w:p>
        </w:tc>
      </w:tr>
      <w:tr w:rsidR="00BD0CE0" w:rsidTr="00C45DD9">
        <w:tc>
          <w:tcPr>
            <w:tcW w:w="9576" w:type="dxa"/>
          </w:tcPr>
          <w:p w:rsidR="00BD0CE0" w:rsidRDefault="00BD0CE0" w:rsidP="00C45DD9">
            <w:pPr>
              <w:pStyle w:val="Footer"/>
              <w:numPr>
                <w:ilvl w:val="0"/>
                <w:numId w:val="15"/>
              </w:numPr>
              <w:tabs>
                <w:tab w:val="clear" w:pos="4320"/>
                <w:tab w:val="clear" w:pos="8640"/>
              </w:tabs>
              <w:rPr>
                <w:sz w:val="22"/>
                <w:szCs w:val="22"/>
              </w:rPr>
            </w:pPr>
            <w:r>
              <w:rPr>
                <w:sz w:val="22"/>
                <w:szCs w:val="22"/>
              </w:rPr>
              <w:t>October  – June 2015</w:t>
            </w:r>
            <w:r w:rsidRPr="00FD273C">
              <w:rPr>
                <w:sz w:val="22"/>
                <w:szCs w:val="22"/>
              </w:rPr>
              <w:t xml:space="preserve"> - Funding to regions to work on update (due June 30, </w:t>
            </w:r>
            <w:r>
              <w:rPr>
                <w:sz w:val="22"/>
                <w:szCs w:val="22"/>
              </w:rPr>
              <w:t>2</w:t>
            </w:r>
            <w:r w:rsidRPr="00FD273C">
              <w:rPr>
                <w:sz w:val="22"/>
                <w:szCs w:val="22"/>
              </w:rPr>
              <w:t>015)</w:t>
            </w:r>
          </w:p>
        </w:tc>
      </w:tr>
      <w:tr w:rsidR="00BD0CE0" w:rsidRPr="000E2BFE" w:rsidTr="00C45DD9">
        <w:tc>
          <w:tcPr>
            <w:tcW w:w="9576" w:type="dxa"/>
          </w:tcPr>
          <w:p w:rsidR="00BD0CE0" w:rsidRPr="000E2BFE" w:rsidRDefault="00BD0CE0" w:rsidP="00C45DD9">
            <w:pPr>
              <w:pStyle w:val="Footer"/>
              <w:numPr>
                <w:ilvl w:val="0"/>
                <w:numId w:val="15"/>
              </w:numPr>
              <w:tabs>
                <w:tab w:val="clear" w:pos="4320"/>
                <w:tab w:val="clear" w:pos="8640"/>
              </w:tabs>
              <w:rPr>
                <w:b/>
                <w:i/>
                <w:sz w:val="22"/>
                <w:szCs w:val="22"/>
              </w:rPr>
            </w:pPr>
            <w:r>
              <w:rPr>
                <w:sz w:val="22"/>
                <w:szCs w:val="22"/>
              </w:rPr>
              <w:t>Technical report</w:t>
            </w:r>
            <w:r w:rsidRPr="00FD273C">
              <w:rPr>
                <w:sz w:val="22"/>
                <w:szCs w:val="22"/>
              </w:rPr>
              <w:t xml:space="preserve"> preliminary data disseminated</w:t>
            </w:r>
            <w:r>
              <w:rPr>
                <w:sz w:val="22"/>
                <w:szCs w:val="22"/>
              </w:rPr>
              <w:t xml:space="preserve"> and discussed with regions </w:t>
            </w:r>
          </w:p>
        </w:tc>
      </w:tr>
      <w:tr w:rsidR="00BD0CE0" w:rsidRPr="00171FB1" w:rsidTr="00C45DD9">
        <w:tc>
          <w:tcPr>
            <w:tcW w:w="9576" w:type="dxa"/>
          </w:tcPr>
          <w:p w:rsidR="00BD0CE0" w:rsidRPr="00171FB1" w:rsidRDefault="00BD0CE0" w:rsidP="00C45DD9">
            <w:pPr>
              <w:pStyle w:val="Footer"/>
              <w:tabs>
                <w:tab w:val="clear" w:pos="4320"/>
                <w:tab w:val="clear" w:pos="8640"/>
              </w:tabs>
              <w:rPr>
                <w:b/>
                <w:i/>
                <w:sz w:val="22"/>
                <w:szCs w:val="22"/>
              </w:rPr>
            </w:pPr>
            <w:r>
              <w:rPr>
                <w:b/>
                <w:i/>
                <w:sz w:val="22"/>
                <w:szCs w:val="22"/>
              </w:rPr>
              <w:t xml:space="preserve">2015 </w:t>
            </w:r>
          </w:p>
        </w:tc>
      </w:tr>
      <w:tr w:rsidR="00BD0CE0" w:rsidRPr="000E2BFE" w:rsidTr="00C45DD9">
        <w:tc>
          <w:tcPr>
            <w:tcW w:w="9576" w:type="dxa"/>
          </w:tcPr>
          <w:p w:rsidR="00BD0CE0" w:rsidRPr="000E2BFE" w:rsidRDefault="00BD0CE0" w:rsidP="00C45DD9">
            <w:pPr>
              <w:pStyle w:val="Footer"/>
              <w:numPr>
                <w:ilvl w:val="0"/>
                <w:numId w:val="15"/>
              </w:numPr>
              <w:tabs>
                <w:tab w:val="clear" w:pos="4320"/>
                <w:tab w:val="clear" w:pos="8640"/>
              </w:tabs>
              <w:rPr>
                <w:b/>
                <w:i/>
                <w:sz w:val="22"/>
                <w:szCs w:val="22"/>
              </w:rPr>
            </w:pPr>
            <w:r>
              <w:rPr>
                <w:sz w:val="22"/>
                <w:szCs w:val="22"/>
              </w:rPr>
              <w:t xml:space="preserve">January:  </w:t>
            </w:r>
            <w:r w:rsidRPr="00FD273C">
              <w:rPr>
                <w:sz w:val="22"/>
                <w:szCs w:val="22"/>
              </w:rPr>
              <w:t>Regional Technical Reports to ISC for review</w:t>
            </w:r>
          </w:p>
        </w:tc>
      </w:tr>
      <w:tr w:rsidR="00BD0CE0" w:rsidTr="00C45DD9">
        <w:tc>
          <w:tcPr>
            <w:tcW w:w="9576" w:type="dxa"/>
          </w:tcPr>
          <w:p w:rsidR="00BD0CE0" w:rsidRDefault="00BD0CE0" w:rsidP="00C45DD9">
            <w:pPr>
              <w:pStyle w:val="Footer"/>
              <w:numPr>
                <w:ilvl w:val="0"/>
                <w:numId w:val="15"/>
              </w:numPr>
              <w:tabs>
                <w:tab w:val="clear" w:pos="4320"/>
                <w:tab w:val="clear" w:pos="8640"/>
              </w:tabs>
              <w:rPr>
                <w:sz w:val="22"/>
                <w:szCs w:val="22"/>
              </w:rPr>
            </w:pPr>
            <w:r>
              <w:rPr>
                <w:sz w:val="22"/>
                <w:szCs w:val="22"/>
              </w:rPr>
              <w:t xml:space="preserve">Phase 3 Regional Meetings </w:t>
            </w:r>
          </w:p>
        </w:tc>
      </w:tr>
    </w:tbl>
    <w:p w:rsidR="00023FC7" w:rsidRPr="003214C6" w:rsidRDefault="00023FC7" w:rsidP="003214C6">
      <w:pPr>
        <w:pStyle w:val="Footer"/>
        <w:tabs>
          <w:tab w:val="clear" w:pos="4320"/>
          <w:tab w:val="clear" w:pos="8640"/>
        </w:tabs>
        <w:rPr>
          <w:sz w:val="22"/>
          <w:szCs w:val="22"/>
        </w:rPr>
      </w:pPr>
    </w:p>
    <w:p w:rsidR="00D3466E" w:rsidRPr="003214C6" w:rsidRDefault="00E97CDB" w:rsidP="003214C6">
      <w:pPr>
        <w:pStyle w:val="Footer"/>
        <w:tabs>
          <w:tab w:val="clear" w:pos="4320"/>
          <w:tab w:val="clear" w:pos="8640"/>
        </w:tabs>
        <w:rPr>
          <w:sz w:val="22"/>
          <w:szCs w:val="22"/>
          <w:u w:val="single"/>
        </w:rPr>
      </w:pPr>
      <w:r>
        <w:rPr>
          <w:sz w:val="22"/>
          <w:szCs w:val="22"/>
          <w:u w:val="single"/>
        </w:rPr>
        <w:t>Description</w:t>
      </w:r>
    </w:p>
    <w:p w:rsidR="0013024B" w:rsidRDefault="00EC7F3A" w:rsidP="00EC7F3A">
      <w:pPr>
        <w:ind w:right="540"/>
        <w:rPr>
          <w:rFonts w:cs="Arial"/>
          <w:sz w:val="22"/>
          <w:szCs w:val="22"/>
        </w:rPr>
      </w:pPr>
      <w:r w:rsidRPr="00EC7F3A">
        <w:rPr>
          <w:rFonts w:cs="Arial"/>
          <w:sz w:val="22"/>
          <w:szCs w:val="22"/>
        </w:rPr>
        <w:t xml:space="preserve">The </w:t>
      </w:r>
      <w:r w:rsidR="0013024B">
        <w:rPr>
          <w:rFonts w:cs="Arial"/>
          <w:sz w:val="22"/>
          <w:szCs w:val="22"/>
        </w:rPr>
        <w:t xml:space="preserve">16 </w:t>
      </w:r>
      <w:r w:rsidRPr="00EC7F3A">
        <w:rPr>
          <w:rFonts w:cs="Arial"/>
          <w:sz w:val="22"/>
          <w:szCs w:val="22"/>
        </w:rPr>
        <w:t xml:space="preserve">regional plans </w:t>
      </w:r>
      <w:r w:rsidR="000638C1">
        <w:rPr>
          <w:rFonts w:cs="Arial"/>
          <w:sz w:val="22"/>
          <w:szCs w:val="22"/>
        </w:rPr>
        <w:t xml:space="preserve">will </w:t>
      </w:r>
      <w:r w:rsidR="000638C1" w:rsidRPr="00EC7F3A">
        <w:rPr>
          <w:rFonts w:cs="Arial"/>
          <w:sz w:val="22"/>
          <w:szCs w:val="22"/>
        </w:rPr>
        <w:t>be</w:t>
      </w:r>
      <w:r w:rsidRPr="00EC7F3A">
        <w:rPr>
          <w:rFonts w:cs="Arial"/>
          <w:sz w:val="22"/>
          <w:szCs w:val="22"/>
        </w:rPr>
        <w:t xml:space="preserve"> based on the same or similar technical methodologies; and the regional water planning groups will be asked to identify the </w:t>
      </w:r>
      <w:r w:rsidR="00F42255">
        <w:rPr>
          <w:rFonts w:cs="Arial"/>
          <w:sz w:val="22"/>
          <w:szCs w:val="22"/>
        </w:rPr>
        <w:t xml:space="preserve">policies, </w:t>
      </w:r>
      <w:r w:rsidR="00F42255" w:rsidRPr="00EC7F3A">
        <w:rPr>
          <w:rFonts w:cs="Arial"/>
          <w:sz w:val="22"/>
          <w:szCs w:val="22"/>
        </w:rPr>
        <w:t>p</w:t>
      </w:r>
      <w:r w:rsidR="00F42255">
        <w:rPr>
          <w:rFonts w:cs="Arial"/>
          <w:sz w:val="22"/>
          <w:szCs w:val="22"/>
        </w:rPr>
        <w:t>rograms, projects</w:t>
      </w:r>
      <w:r w:rsidR="000638C1">
        <w:rPr>
          <w:rFonts w:cs="Arial"/>
          <w:sz w:val="22"/>
          <w:szCs w:val="22"/>
        </w:rPr>
        <w:t xml:space="preserve">, </w:t>
      </w:r>
      <w:r w:rsidR="000638C1" w:rsidRPr="00EC7F3A">
        <w:rPr>
          <w:rFonts w:cs="Arial"/>
          <w:sz w:val="22"/>
          <w:szCs w:val="22"/>
        </w:rPr>
        <w:t>and</w:t>
      </w:r>
      <w:r w:rsidRPr="00EC7F3A">
        <w:rPr>
          <w:rFonts w:cs="Arial"/>
          <w:sz w:val="22"/>
          <w:szCs w:val="22"/>
        </w:rPr>
        <w:t xml:space="preserve"> funding needs that will help them address their current and long-term water planning issues. For e</w:t>
      </w:r>
      <w:r w:rsidR="0013024B">
        <w:rPr>
          <w:rFonts w:cs="Arial"/>
          <w:sz w:val="22"/>
          <w:szCs w:val="22"/>
        </w:rPr>
        <w:t xml:space="preserve">fficiency </w:t>
      </w:r>
      <w:r w:rsidRPr="00EC7F3A">
        <w:rPr>
          <w:rFonts w:cs="Arial"/>
          <w:sz w:val="22"/>
          <w:szCs w:val="22"/>
        </w:rPr>
        <w:t>and to ensure that regional water plan</w:t>
      </w:r>
      <w:r w:rsidR="0013024B">
        <w:rPr>
          <w:rFonts w:cs="Arial"/>
          <w:sz w:val="22"/>
          <w:szCs w:val="22"/>
        </w:rPr>
        <w:t>s “talk to each other,” ISC is calculating</w:t>
      </w:r>
      <w:r w:rsidRPr="00EC7F3A">
        <w:rPr>
          <w:rFonts w:cs="Arial"/>
          <w:sz w:val="22"/>
          <w:szCs w:val="22"/>
        </w:rPr>
        <w:t xml:space="preserve"> water supply and demand usin</w:t>
      </w:r>
      <w:r w:rsidR="0013024B">
        <w:rPr>
          <w:rFonts w:cs="Arial"/>
          <w:sz w:val="22"/>
          <w:szCs w:val="22"/>
        </w:rPr>
        <w:t xml:space="preserve">g a common methodology. ISC </w:t>
      </w:r>
      <w:r w:rsidRPr="00EC7F3A">
        <w:rPr>
          <w:rFonts w:cs="Arial"/>
          <w:sz w:val="22"/>
          <w:szCs w:val="22"/>
        </w:rPr>
        <w:t xml:space="preserve">also </w:t>
      </w:r>
      <w:r w:rsidR="0013024B">
        <w:rPr>
          <w:rFonts w:cs="Arial"/>
          <w:sz w:val="22"/>
          <w:szCs w:val="22"/>
        </w:rPr>
        <w:t>is providing</w:t>
      </w:r>
      <w:r w:rsidRPr="00EC7F3A">
        <w:rPr>
          <w:rFonts w:cs="Arial"/>
          <w:sz w:val="22"/>
          <w:szCs w:val="22"/>
        </w:rPr>
        <w:t xml:space="preserve"> population projections and economic forecasts, with input from the regions, to help estimate future water use. ISC </w:t>
      </w:r>
      <w:r w:rsidR="0013024B">
        <w:rPr>
          <w:rFonts w:cs="Arial"/>
          <w:sz w:val="22"/>
          <w:szCs w:val="22"/>
        </w:rPr>
        <w:t xml:space="preserve">also </w:t>
      </w:r>
      <w:r w:rsidRPr="00EC7F3A">
        <w:rPr>
          <w:rFonts w:cs="Arial"/>
          <w:sz w:val="22"/>
          <w:szCs w:val="22"/>
        </w:rPr>
        <w:t xml:space="preserve">will </w:t>
      </w:r>
      <w:r w:rsidR="0013024B">
        <w:rPr>
          <w:rFonts w:cs="Arial"/>
          <w:sz w:val="22"/>
          <w:szCs w:val="22"/>
        </w:rPr>
        <w:t xml:space="preserve">update the </w:t>
      </w:r>
      <w:r w:rsidRPr="00EC7F3A">
        <w:rPr>
          <w:rFonts w:cs="Arial"/>
          <w:sz w:val="22"/>
          <w:szCs w:val="22"/>
        </w:rPr>
        <w:t>legal issues affecting water supply and management</w:t>
      </w:r>
      <w:r w:rsidR="00E83233" w:rsidRPr="00E83233">
        <w:rPr>
          <w:rFonts w:cs="Arial"/>
          <w:sz w:val="22"/>
          <w:szCs w:val="22"/>
        </w:rPr>
        <w:t xml:space="preserve"> </w:t>
      </w:r>
      <w:r w:rsidR="00E83233">
        <w:rPr>
          <w:rFonts w:cs="Arial"/>
          <w:sz w:val="22"/>
          <w:szCs w:val="22"/>
        </w:rPr>
        <w:t>from the region’s original plan</w:t>
      </w:r>
      <w:r w:rsidRPr="00EC7F3A">
        <w:rPr>
          <w:rFonts w:cs="Arial"/>
          <w:sz w:val="22"/>
          <w:szCs w:val="22"/>
        </w:rPr>
        <w:t xml:space="preserve">. These elements comprise a “technical report” developed by the state for each region, leaving the task of identifying water projects, programs, and policy priorities to the regions who know best their needs and conditions. The regions will develop their </w:t>
      </w:r>
      <w:r w:rsidR="0013024B">
        <w:rPr>
          <w:rFonts w:cs="Arial"/>
          <w:sz w:val="22"/>
          <w:szCs w:val="22"/>
        </w:rPr>
        <w:t xml:space="preserve">portions of their </w:t>
      </w:r>
      <w:r w:rsidRPr="00EC7F3A">
        <w:rPr>
          <w:rFonts w:cs="Arial"/>
          <w:sz w:val="22"/>
          <w:szCs w:val="22"/>
        </w:rPr>
        <w:t xml:space="preserve">plans through a stakeholder committee that represents the various water users in the regions. </w:t>
      </w:r>
    </w:p>
    <w:p w:rsidR="0013024B" w:rsidRDefault="0013024B" w:rsidP="00EC7F3A">
      <w:pPr>
        <w:ind w:right="540"/>
        <w:rPr>
          <w:rFonts w:cs="Arial"/>
          <w:sz w:val="22"/>
          <w:szCs w:val="22"/>
        </w:rPr>
      </w:pPr>
    </w:p>
    <w:p w:rsidR="00EC7F3A" w:rsidRPr="00EC7F3A" w:rsidRDefault="0013024B" w:rsidP="00EC7F3A">
      <w:pPr>
        <w:ind w:right="540"/>
        <w:rPr>
          <w:rFonts w:cs="Arial"/>
          <w:sz w:val="22"/>
          <w:szCs w:val="22"/>
        </w:rPr>
      </w:pPr>
      <w:r>
        <w:rPr>
          <w:rFonts w:cs="Arial"/>
          <w:sz w:val="22"/>
          <w:szCs w:val="22"/>
        </w:rPr>
        <w:t>The goal is for regional stakeholders to</w:t>
      </w:r>
      <w:r w:rsidR="00EC7F3A" w:rsidRPr="00EC7F3A">
        <w:rPr>
          <w:rFonts w:cs="Arial"/>
          <w:sz w:val="22"/>
          <w:szCs w:val="22"/>
        </w:rPr>
        <w:t xml:space="preserve"> identify regional water planning priorities that will be more closely linked to the Water Trust Board funding process, thus resulting in implementation of water plans. The development of the “technical reports” by a common methodology will allow the integration of the regional water plans with the State Water Plan as envisioned by the State Water Plan Act.  The Water Trust Board is a vehicle for implementing the State Water Plan project and program goals. Criteria for water projects and programs under the Water Project Finance Act include prioritization of proposals that are in an ISC-accepted regional water plans.</w:t>
      </w:r>
    </w:p>
    <w:p w:rsidR="00D3466E" w:rsidRPr="003214C6" w:rsidRDefault="00D3466E" w:rsidP="003214C6">
      <w:pPr>
        <w:pStyle w:val="Footer"/>
        <w:tabs>
          <w:tab w:val="clear" w:pos="4320"/>
          <w:tab w:val="clear" w:pos="8640"/>
        </w:tabs>
        <w:rPr>
          <w:sz w:val="22"/>
          <w:szCs w:val="22"/>
        </w:rPr>
      </w:pPr>
    </w:p>
    <w:p w:rsidR="00D3466E" w:rsidRPr="003214C6" w:rsidRDefault="00D3466E" w:rsidP="003214C6">
      <w:pPr>
        <w:pStyle w:val="Footer"/>
        <w:tabs>
          <w:tab w:val="clear" w:pos="4320"/>
          <w:tab w:val="clear" w:pos="8640"/>
        </w:tabs>
        <w:rPr>
          <w:sz w:val="22"/>
          <w:szCs w:val="22"/>
          <w:u w:val="single"/>
        </w:rPr>
      </w:pPr>
      <w:r w:rsidRPr="003214C6">
        <w:rPr>
          <w:sz w:val="22"/>
          <w:szCs w:val="22"/>
          <w:u w:val="single"/>
        </w:rPr>
        <w:t>Work Plan Budget, Funding Source &amp; Time Frame</w:t>
      </w:r>
    </w:p>
    <w:p w:rsidR="00E81FFA" w:rsidRDefault="00014154" w:rsidP="00014154">
      <w:pPr>
        <w:ind w:right="540"/>
        <w:rPr>
          <w:rFonts w:cs="Arial"/>
          <w:sz w:val="22"/>
          <w:szCs w:val="22"/>
        </w:rPr>
      </w:pPr>
      <w:r>
        <w:rPr>
          <w:rFonts w:cs="Arial"/>
          <w:sz w:val="22"/>
          <w:szCs w:val="22"/>
        </w:rPr>
        <w:t xml:space="preserve">For 2014, the ISC received a special appropriation in the amount of $400,000 along with a budget of $83,600 from the IWCF for State and Regional water planning purposes.   </w:t>
      </w:r>
      <w:r w:rsidR="00604DEF">
        <w:rPr>
          <w:rFonts w:cs="Arial"/>
          <w:sz w:val="22"/>
          <w:szCs w:val="22"/>
        </w:rPr>
        <w:t>It is expected that all of the $483,600 will be expended by June 30, 2014.</w:t>
      </w:r>
      <w:r>
        <w:rPr>
          <w:rFonts w:cs="Arial"/>
          <w:sz w:val="22"/>
          <w:szCs w:val="22"/>
        </w:rPr>
        <w:t xml:space="preserve"> </w:t>
      </w:r>
    </w:p>
    <w:p w:rsidR="00E81FFA" w:rsidRDefault="00E81FFA" w:rsidP="00014154">
      <w:pPr>
        <w:ind w:right="540"/>
        <w:rPr>
          <w:rFonts w:cs="Arial"/>
          <w:sz w:val="22"/>
          <w:szCs w:val="22"/>
        </w:rPr>
      </w:pPr>
    </w:p>
    <w:p w:rsidR="00604DEF" w:rsidRDefault="00FC414E" w:rsidP="00604DEF">
      <w:pPr>
        <w:pStyle w:val="Footer"/>
        <w:tabs>
          <w:tab w:val="clear" w:pos="4320"/>
          <w:tab w:val="clear" w:pos="8640"/>
        </w:tabs>
        <w:rPr>
          <w:sz w:val="22"/>
          <w:szCs w:val="22"/>
        </w:rPr>
      </w:pPr>
      <w:r w:rsidRPr="00FC414E">
        <w:rPr>
          <w:rFonts w:cs="Arial"/>
          <w:sz w:val="22"/>
          <w:szCs w:val="22"/>
        </w:rPr>
        <w:t xml:space="preserve">The ISC has tentatively been awarded another $400,000 from NMFA for state and regional water plan updates. </w:t>
      </w:r>
      <w:r w:rsidRPr="00FC414E">
        <w:rPr>
          <w:sz w:val="22"/>
          <w:szCs w:val="22"/>
        </w:rPr>
        <w:t xml:space="preserve">For fiscal year 2015, the ISC has a planning budget from the IWCF, a special appropriation and the NMFA grant, for a total of $965,300.  </w:t>
      </w:r>
      <w:r w:rsidR="00604DEF">
        <w:rPr>
          <w:sz w:val="22"/>
          <w:szCs w:val="22"/>
        </w:rPr>
        <w:t>Of this FY2015 budget, $565,300 will have to be expended and deliverables received by June 30</w:t>
      </w:r>
      <w:r w:rsidR="00604DEF" w:rsidRPr="00EB3936">
        <w:rPr>
          <w:sz w:val="22"/>
          <w:szCs w:val="22"/>
          <w:vertAlign w:val="superscript"/>
        </w:rPr>
        <w:t>th</w:t>
      </w:r>
      <w:r w:rsidR="00604DEF">
        <w:rPr>
          <w:sz w:val="22"/>
          <w:szCs w:val="22"/>
        </w:rPr>
        <w:t xml:space="preserve"> because of the funding source end dates.</w:t>
      </w:r>
    </w:p>
    <w:p w:rsidR="00604DEF" w:rsidRPr="00604DEF" w:rsidRDefault="00604DEF" w:rsidP="00604DEF">
      <w:pPr>
        <w:pStyle w:val="ListParagraph"/>
        <w:ind w:right="540"/>
      </w:pPr>
    </w:p>
    <w:p w:rsidR="00810416" w:rsidRDefault="00FC414E" w:rsidP="00604DEF">
      <w:pPr>
        <w:ind w:right="540"/>
      </w:pPr>
      <w:r w:rsidRPr="00604DEF">
        <w:rPr>
          <w:sz w:val="22"/>
          <w:szCs w:val="22"/>
        </w:rPr>
        <w:lastRenderedPageBreak/>
        <w:t xml:space="preserve">With this budget, the ISC Planning Manager will continue to manage consulting work on developing the common technical platform for all 16 regions, as well as continue to convene regional water planning meetings with the goal of strengthening the regional steering committees’ capacity to update the regions’ portions of their water plans. While the technical data is being developed and the regional steering committees are being re-invigorated, </w:t>
      </w:r>
      <w:r w:rsidR="0059561C" w:rsidRPr="00164694">
        <w:t xml:space="preserve">the planning manager will </w:t>
      </w:r>
      <w:r w:rsidR="00164694">
        <w:t>distribute a</w:t>
      </w:r>
      <w:r w:rsidR="0059561C" w:rsidRPr="00164694">
        <w:t xml:space="preserve"> portion of the</w:t>
      </w:r>
      <w:r w:rsidR="00164694">
        <w:t xml:space="preserve"> available</w:t>
      </w:r>
      <w:r w:rsidR="0059561C" w:rsidRPr="00164694">
        <w:t xml:space="preserve"> funding so that they may hire their own consultants or work with the agency to use its existing contractors. Specifically, the funding to or on behalf of the regions, depending on how a regional steering committee chooses, will occur through </w:t>
      </w:r>
      <w:r w:rsidR="002D151F" w:rsidRPr="00164694">
        <w:t xml:space="preserve">agreements with the </w:t>
      </w:r>
      <w:r w:rsidR="00C87195" w:rsidRPr="00164694">
        <w:t>r</w:t>
      </w:r>
      <w:r w:rsidR="002D151F" w:rsidRPr="00164694">
        <w:t>egions to provid</w:t>
      </w:r>
      <w:r w:rsidR="0059561C" w:rsidRPr="00164694">
        <w:t>e</w:t>
      </w:r>
      <w:r w:rsidR="002D151F" w:rsidRPr="00164694">
        <w:t xml:space="preserve"> for facilitation for public meetings</w:t>
      </w:r>
      <w:r w:rsidR="0059561C" w:rsidRPr="00164694">
        <w:t xml:space="preserve"> and input</w:t>
      </w:r>
      <w:r w:rsidR="001414D7" w:rsidRPr="00164694">
        <w:t xml:space="preserve">, </w:t>
      </w:r>
      <w:r w:rsidR="002D151F" w:rsidRPr="00164694">
        <w:t>technical</w:t>
      </w:r>
      <w:r w:rsidR="001414D7" w:rsidRPr="00164694">
        <w:t xml:space="preserve"> </w:t>
      </w:r>
      <w:r w:rsidR="00FF4752" w:rsidRPr="00164694">
        <w:t xml:space="preserve">writing , editing, and </w:t>
      </w:r>
      <w:r w:rsidR="001414D7" w:rsidRPr="00164694">
        <w:t>support</w:t>
      </w:r>
      <w:r w:rsidR="0059561C" w:rsidRPr="00164694">
        <w:t xml:space="preserve"> by</w:t>
      </w:r>
      <w:r w:rsidR="001414D7" w:rsidRPr="00164694">
        <w:t xml:space="preserve"> contractors </w:t>
      </w:r>
      <w:r w:rsidR="00FF4752" w:rsidRPr="00164694">
        <w:t xml:space="preserve">so the regions can </w:t>
      </w:r>
      <w:r w:rsidR="001414D7" w:rsidRPr="00164694">
        <w:t xml:space="preserve">develop their </w:t>
      </w:r>
      <w:r w:rsidR="00FF4752" w:rsidRPr="00164694">
        <w:t xml:space="preserve">elements of their regional </w:t>
      </w:r>
      <w:r w:rsidR="001414D7" w:rsidRPr="00164694">
        <w:t xml:space="preserve">water plans.  </w:t>
      </w:r>
    </w:p>
    <w:p w:rsidR="00E04042" w:rsidRDefault="00E04042" w:rsidP="003214C6">
      <w:pPr>
        <w:pStyle w:val="Footer"/>
        <w:tabs>
          <w:tab w:val="clear" w:pos="4320"/>
          <w:tab w:val="clear" w:pos="8640"/>
        </w:tabs>
        <w:rPr>
          <w:sz w:val="22"/>
          <w:szCs w:val="22"/>
        </w:rPr>
      </w:pPr>
    </w:p>
    <w:p w:rsidR="00023FC7" w:rsidRPr="003214C6" w:rsidRDefault="00374EC8" w:rsidP="003214C6">
      <w:pPr>
        <w:pStyle w:val="Footer"/>
        <w:tabs>
          <w:tab w:val="clear" w:pos="4320"/>
          <w:tab w:val="clear" w:pos="8640"/>
        </w:tabs>
        <w:rPr>
          <w:sz w:val="22"/>
          <w:szCs w:val="22"/>
          <w:u w:val="single"/>
        </w:rPr>
      </w:pPr>
      <w:r>
        <w:rPr>
          <w:sz w:val="22"/>
          <w:szCs w:val="22"/>
          <w:u w:val="single"/>
        </w:rPr>
        <w:t>W</w:t>
      </w:r>
      <w:r w:rsidR="00572D24">
        <w:rPr>
          <w:sz w:val="22"/>
          <w:szCs w:val="22"/>
          <w:u w:val="single"/>
        </w:rPr>
        <w:t>ork Plan Risk</w:t>
      </w:r>
      <w:r w:rsidR="00227487">
        <w:rPr>
          <w:sz w:val="22"/>
          <w:szCs w:val="22"/>
          <w:u w:val="single"/>
        </w:rPr>
        <w:t>(</w:t>
      </w:r>
      <w:r w:rsidR="00572D24">
        <w:rPr>
          <w:sz w:val="22"/>
          <w:szCs w:val="22"/>
          <w:u w:val="single"/>
        </w:rPr>
        <w:t>s</w:t>
      </w:r>
      <w:r w:rsidR="00227487">
        <w:rPr>
          <w:sz w:val="22"/>
          <w:szCs w:val="22"/>
          <w:u w:val="single"/>
        </w:rPr>
        <w:t>)</w:t>
      </w:r>
      <w:r w:rsidR="00572D24">
        <w:rPr>
          <w:sz w:val="22"/>
          <w:szCs w:val="22"/>
          <w:u w:val="single"/>
        </w:rPr>
        <w:t xml:space="preserve"> and Impact</w:t>
      </w:r>
      <w:r w:rsidR="00227487">
        <w:rPr>
          <w:sz w:val="22"/>
          <w:szCs w:val="22"/>
          <w:u w:val="single"/>
        </w:rPr>
        <w:t>(s)</w:t>
      </w:r>
    </w:p>
    <w:p w:rsidR="00C61476" w:rsidRDefault="003C66BB" w:rsidP="00221904">
      <w:r>
        <w:t>The water planning program as outlined in this work plan provides a</w:t>
      </w:r>
      <w:r w:rsidR="00DD3329">
        <w:t xml:space="preserve"> path for</w:t>
      </w:r>
      <w:r w:rsidR="00C61476">
        <w:t xml:space="preserve"> bringing </w:t>
      </w:r>
      <w:r>
        <w:t>tog</w:t>
      </w:r>
      <w:r w:rsidR="00C61476">
        <w:t>ether key stakeholders and decision-makers in a region to discuss water management issues</w:t>
      </w:r>
      <w:r>
        <w:t xml:space="preserve"> based on solid technical </w:t>
      </w:r>
      <w:r w:rsidR="00DD3329">
        <w:t>data with a focus</w:t>
      </w:r>
      <w:r>
        <w:t xml:space="preserve"> on solutions that can be implemented</w:t>
      </w:r>
      <w:r w:rsidR="00C61476">
        <w:t xml:space="preserve">. </w:t>
      </w:r>
      <w:r w:rsidR="00DD3329">
        <w:t>Water planning is a vehicle for promoting solutions in place of conflict</w:t>
      </w:r>
      <w:r w:rsidR="00C54E78">
        <w:t>s</w:t>
      </w:r>
      <w:r w:rsidR="00DD3329">
        <w:t xml:space="preserve"> that </w:t>
      </w:r>
      <w:r w:rsidR="00C54E78">
        <w:t>too often take</w:t>
      </w:r>
      <w:r w:rsidR="00DD3329">
        <w:t xml:space="preserve"> course through litigation.</w:t>
      </w:r>
    </w:p>
    <w:p w:rsidR="003C66BB" w:rsidRDefault="003C66BB" w:rsidP="00221904"/>
    <w:p w:rsidR="00221904" w:rsidRPr="007842A6" w:rsidRDefault="00C61476" w:rsidP="00221904">
      <w:r>
        <w:t xml:space="preserve">Regional meetings afford interested and invested water users in </w:t>
      </w:r>
      <w:r w:rsidR="003C66BB">
        <w:t>a community</w:t>
      </w:r>
      <w:r>
        <w:t xml:space="preserve"> to </w:t>
      </w:r>
      <w:r w:rsidR="003C66BB">
        <w:t xml:space="preserve">share information about existing water needs and  issues and discuss how to address those needs, and most importantly, how to prioritize </w:t>
      </w:r>
      <w:r w:rsidR="00221904">
        <w:t xml:space="preserve">specific policies, programs, and projects </w:t>
      </w:r>
      <w:r w:rsidR="003C66BB">
        <w:t xml:space="preserve">in response. </w:t>
      </w:r>
      <w:r w:rsidR="00221904">
        <w:t xml:space="preserve">The updated regional water plans can inform the update of the State Water Plan, thereby “integrating” our regional and state water plans, as required by New Mexico state law. </w:t>
      </w:r>
    </w:p>
    <w:p w:rsidR="003C66BB" w:rsidRDefault="003C66BB" w:rsidP="003C66BB"/>
    <w:p w:rsidR="003C66BB" w:rsidRDefault="003C66BB" w:rsidP="003C66BB">
      <w:r>
        <w:t xml:space="preserve">Continued state support for water planning activity is vital and timely as water challenges mount throughout the state and the southwest. </w:t>
      </w:r>
    </w:p>
    <w:p w:rsidR="00221904" w:rsidRDefault="00221904" w:rsidP="003214C6">
      <w:pPr>
        <w:pStyle w:val="Footer"/>
        <w:tabs>
          <w:tab w:val="clear" w:pos="4320"/>
          <w:tab w:val="clear" w:pos="8640"/>
        </w:tabs>
      </w:pPr>
    </w:p>
    <w:p w:rsidR="00221904" w:rsidRPr="003214C6" w:rsidRDefault="00221904" w:rsidP="003214C6">
      <w:pPr>
        <w:pStyle w:val="Footer"/>
        <w:tabs>
          <w:tab w:val="clear" w:pos="4320"/>
          <w:tab w:val="clear" w:pos="8640"/>
        </w:tabs>
        <w:rPr>
          <w:sz w:val="22"/>
          <w:szCs w:val="22"/>
        </w:rPr>
      </w:pPr>
    </w:p>
    <w:p w:rsidR="00023FC7" w:rsidRDefault="00D3466E" w:rsidP="003214C6">
      <w:pPr>
        <w:pStyle w:val="Footer"/>
        <w:tabs>
          <w:tab w:val="clear" w:pos="4320"/>
          <w:tab w:val="clear" w:pos="8640"/>
        </w:tabs>
        <w:rPr>
          <w:sz w:val="22"/>
          <w:szCs w:val="22"/>
          <w:u w:val="single"/>
        </w:rPr>
      </w:pPr>
      <w:r w:rsidRPr="003214C6">
        <w:rPr>
          <w:sz w:val="22"/>
          <w:szCs w:val="22"/>
          <w:u w:val="single"/>
        </w:rPr>
        <w:t>Work Plan</w:t>
      </w:r>
      <w:r w:rsidR="00A26B4A" w:rsidRPr="003214C6">
        <w:rPr>
          <w:sz w:val="22"/>
          <w:szCs w:val="22"/>
          <w:u w:val="single"/>
        </w:rPr>
        <w:t xml:space="preserve"> Manager</w:t>
      </w:r>
    </w:p>
    <w:p w:rsidR="00221904" w:rsidRPr="00451481" w:rsidRDefault="00221904" w:rsidP="003214C6">
      <w:pPr>
        <w:pStyle w:val="Footer"/>
        <w:tabs>
          <w:tab w:val="clear" w:pos="4320"/>
          <w:tab w:val="clear" w:pos="8640"/>
        </w:tabs>
        <w:rPr>
          <w:sz w:val="22"/>
          <w:szCs w:val="22"/>
        </w:rPr>
      </w:pPr>
      <w:r w:rsidRPr="00451481">
        <w:rPr>
          <w:sz w:val="22"/>
          <w:szCs w:val="22"/>
        </w:rPr>
        <w:t xml:space="preserve">Angela </w:t>
      </w:r>
      <w:r w:rsidR="00C61476">
        <w:rPr>
          <w:sz w:val="22"/>
          <w:szCs w:val="22"/>
        </w:rPr>
        <w:t xml:space="preserve">Schackel </w:t>
      </w:r>
      <w:r w:rsidRPr="00451481">
        <w:rPr>
          <w:sz w:val="22"/>
          <w:szCs w:val="22"/>
        </w:rPr>
        <w:t>Bordegaray</w:t>
      </w:r>
    </w:p>
    <w:p w:rsidR="003214C6" w:rsidRDefault="003214C6" w:rsidP="003214C6">
      <w:pPr>
        <w:pStyle w:val="Footer"/>
        <w:tabs>
          <w:tab w:val="clear" w:pos="4320"/>
          <w:tab w:val="clear" w:pos="8640"/>
        </w:tabs>
        <w:rPr>
          <w:sz w:val="22"/>
          <w:szCs w:val="22"/>
        </w:rPr>
      </w:pPr>
    </w:p>
    <w:p w:rsidR="00023FC7" w:rsidRPr="003214C6" w:rsidRDefault="00023FC7" w:rsidP="003214C6">
      <w:pPr>
        <w:pStyle w:val="Footer"/>
        <w:tabs>
          <w:tab w:val="clear" w:pos="4320"/>
          <w:tab w:val="clear" w:pos="8640"/>
        </w:tabs>
        <w:rPr>
          <w:sz w:val="22"/>
          <w:szCs w:val="22"/>
        </w:rPr>
      </w:pPr>
    </w:p>
    <w:sectPr w:rsidR="00023FC7" w:rsidRPr="003214C6" w:rsidSect="00023FC7">
      <w:footerReference w:type="even" r:id="rId9"/>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BF6" w:rsidRDefault="00AD0BF6">
      <w:r>
        <w:separator/>
      </w:r>
    </w:p>
  </w:endnote>
  <w:endnote w:type="continuationSeparator" w:id="0">
    <w:p w:rsidR="00AD0BF6" w:rsidRDefault="00AD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9F" w:rsidRDefault="003A68E7">
    <w:pPr>
      <w:pStyle w:val="Footer"/>
      <w:framePr w:wrap="around" w:vAnchor="text" w:hAnchor="margin" w:xAlign="right" w:y="1"/>
      <w:rPr>
        <w:rStyle w:val="PageNumber"/>
      </w:rPr>
    </w:pPr>
    <w:r>
      <w:rPr>
        <w:rStyle w:val="PageNumber"/>
      </w:rPr>
      <w:fldChar w:fldCharType="begin"/>
    </w:r>
    <w:r w:rsidR="00ED019F">
      <w:rPr>
        <w:rStyle w:val="PageNumber"/>
      </w:rPr>
      <w:instrText xml:space="preserve">PAGE  </w:instrText>
    </w:r>
    <w:r>
      <w:rPr>
        <w:rStyle w:val="PageNumber"/>
      </w:rPr>
      <w:fldChar w:fldCharType="end"/>
    </w:r>
  </w:p>
  <w:p w:rsidR="00ED019F" w:rsidRDefault="00ED01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9F" w:rsidRDefault="003A68E7">
    <w:pPr>
      <w:pStyle w:val="Footer"/>
      <w:framePr w:wrap="around" w:vAnchor="text" w:hAnchor="margin" w:xAlign="right" w:y="1"/>
      <w:rPr>
        <w:rStyle w:val="PageNumber"/>
      </w:rPr>
    </w:pPr>
    <w:r>
      <w:rPr>
        <w:rStyle w:val="PageNumber"/>
      </w:rPr>
      <w:fldChar w:fldCharType="begin"/>
    </w:r>
    <w:r w:rsidR="00ED019F">
      <w:rPr>
        <w:rStyle w:val="PageNumber"/>
      </w:rPr>
      <w:instrText xml:space="preserve">PAGE  </w:instrText>
    </w:r>
    <w:r>
      <w:rPr>
        <w:rStyle w:val="PageNumber"/>
      </w:rPr>
      <w:fldChar w:fldCharType="separate"/>
    </w:r>
    <w:r w:rsidR="00AC19EC">
      <w:rPr>
        <w:rStyle w:val="PageNumber"/>
        <w:noProof/>
      </w:rPr>
      <w:t>1</w:t>
    </w:r>
    <w:r>
      <w:rPr>
        <w:rStyle w:val="PageNumber"/>
      </w:rPr>
      <w:fldChar w:fldCharType="end"/>
    </w:r>
  </w:p>
  <w:p w:rsidR="00ED019F" w:rsidRDefault="00ED01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BF6" w:rsidRDefault="00AD0BF6">
      <w:r>
        <w:separator/>
      </w:r>
    </w:p>
  </w:footnote>
  <w:footnote w:type="continuationSeparator" w:id="0">
    <w:p w:rsidR="00AD0BF6" w:rsidRDefault="00AD0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C6FF3"/>
    <w:multiLevelType w:val="hybridMultilevel"/>
    <w:tmpl w:val="825460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2D53E5"/>
    <w:multiLevelType w:val="hybridMultilevel"/>
    <w:tmpl w:val="A4AA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14F53"/>
    <w:multiLevelType w:val="hybridMultilevel"/>
    <w:tmpl w:val="AD482A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0F685F"/>
    <w:multiLevelType w:val="hybridMultilevel"/>
    <w:tmpl w:val="963E64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F10955"/>
    <w:multiLevelType w:val="hybridMultilevel"/>
    <w:tmpl w:val="757A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A2BB2"/>
    <w:multiLevelType w:val="hybridMultilevel"/>
    <w:tmpl w:val="1EA035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6C574F"/>
    <w:multiLevelType w:val="hybridMultilevel"/>
    <w:tmpl w:val="B44AF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7A7C7F"/>
    <w:multiLevelType w:val="hybridMultilevel"/>
    <w:tmpl w:val="3F5E5130"/>
    <w:lvl w:ilvl="0" w:tplc="A102628E">
      <w:start w:val="2015"/>
      <w:numFmt w:val="decimal"/>
      <w:lvlText w:val="%1"/>
      <w:lvlJc w:val="left"/>
      <w:pPr>
        <w:ind w:left="840" w:hanging="48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95072"/>
    <w:multiLevelType w:val="hybridMultilevel"/>
    <w:tmpl w:val="C4162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273AEB"/>
    <w:multiLevelType w:val="hybridMultilevel"/>
    <w:tmpl w:val="FDA67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D250E6"/>
    <w:multiLevelType w:val="hybridMultilevel"/>
    <w:tmpl w:val="95CAD97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6011ED"/>
    <w:multiLevelType w:val="hybridMultilevel"/>
    <w:tmpl w:val="E1E8FB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CA46C3"/>
    <w:multiLevelType w:val="hybridMultilevel"/>
    <w:tmpl w:val="B984A79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DB45F33"/>
    <w:multiLevelType w:val="hybridMultilevel"/>
    <w:tmpl w:val="C2C20F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18843D1"/>
    <w:multiLevelType w:val="hybridMultilevel"/>
    <w:tmpl w:val="AD482AD0"/>
    <w:lvl w:ilvl="0" w:tplc="04090003">
      <w:start w:val="1"/>
      <w:numFmt w:val="bullet"/>
      <w:lvlText w:val="o"/>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351E45"/>
    <w:multiLevelType w:val="hybridMultilevel"/>
    <w:tmpl w:val="03AE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484481"/>
    <w:multiLevelType w:val="hybridMultilevel"/>
    <w:tmpl w:val="2AE874C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10"/>
  </w:num>
  <w:num w:numId="4">
    <w:abstractNumId w:val="2"/>
  </w:num>
  <w:num w:numId="5">
    <w:abstractNumId w:val="14"/>
  </w:num>
  <w:num w:numId="6">
    <w:abstractNumId w:val="9"/>
  </w:num>
  <w:num w:numId="7">
    <w:abstractNumId w:val="8"/>
  </w:num>
  <w:num w:numId="8">
    <w:abstractNumId w:val="0"/>
  </w:num>
  <w:num w:numId="9">
    <w:abstractNumId w:val="1"/>
  </w:num>
  <w:num w:numId="10">
    <w:abstractNumId w:val="16"/>
  </w:num>
  <w:num w:numId="11">
    <w:abstractNumId w:val="5"/>
  </w:num>
  <w:num w:numId="12">
    <w:abstractNumId w:val="13"/>
  </w:num>
  <w:num w:numId="13">
    <w:abstractNumId w:val="15"/>
  </w:num>
  <w:num w:numId="14">
    <w:abstractNumId w:val="11"/>
  </w:num>
  <w:num w:numId="15">
    <w:abstractNumId w:val="6"/>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26B4A"/>
    <w:rsid w:val="00014154"/>
    <w:rsid w:val="00015E2E"/>
    <w:rsid w:val="00023FC7"/>
    <w:rsid w:val="0003590E"/>
    <w:rsid w:val="000638C1"/>
    <w:rsid w:val="000E2BFE"/>
    <w:rsid w:val="0013024B"/>
    <w:rsid w:val="001414D7"/>
    <w:rsid w:val="00146179"/>
    <w:rsid w:val="00164694"/>
    <w:rsid w:val="00171FB1"/>
    <w:rsid w:val="001864F3"/>
    <w:rsid w:val="00221904"/>
    <w:rsid w:val="00227487"/>
    <w:rsid w:val="002D151F"/>
    <w:rsid w:val="003214C6"/>
    <w:rsid w:val="00327558"/>
    <w:rsid w:val="003643E8"/>
    <w:rsid w:val="00374EC8"/>
    <w:rsid w:val="00396167"/>
    <w:rsid w:val="003A68E7"/>
    <w:rsid w:val="003B6B42"/>
    <w:rsid w:val="003C66BB"/>
    <w:rsid w:val="00422A22"/>
    <w:rsid w:val="00431E12"/>
    <w:rsid w:val="00441900"/>
    <w:rsid w:val="00451481"/>
    <w:rsid w:val="00494607"/>
    <w:rsid w:val="004A1099"/>
    <w:rsid w:val="004B09E9"/>
    <w:rsid w:val="00537486"/>
    <w:rsid w:val="00566C7D"/>
    <w:rsid w:val="00572D24"/>
    <w:rsid w:val="00581497"/>
    <w:rsid w:val="0059561C"/>
    <w:rsid w:val="005C6161"/>
    <w:rsid w:val="005D1289"/>
    <w:rsid w:val="00604DEF"/>
    <w:rsid w:val="006360E0"/>
    <w:rsid w:val="0064389D"/>
    <w:rsid w:val="006575B1"/>
    <w:rsid w:val="00665F34"/>
    <w:rsid w:val="0069037C"/>
    <w:rsid w:val="006A4946"/>
    <w:rsid w:val="0070450B"/>
    <w:rsid w:val="007117F4"/>
    <w:rsid w:val="00772F2D"/>
    <w:rsid w:val="007A5D0B"/>
    <w:rsid w:val="00810416"/>
    <w:rsid w:val="008C0226"/>
    <w:rsid w:val="008D5917"/>
    <w:rsid w:val="0092563C"/>
    <w:rsid w:val="0093587E"/>
    <w:rsid w:val="0093627D"/>
    <w:rsid w:val="0096023B"/>
    <w:rsid w:val="00961E0E"/>
    <w:rsid w:val="00993694"/>
    <w:rsid w:val="00996616"/>
    <w:rsid w:val="009977D9"/>
    <w:rsid w:val="009C7917"/>
    <w:rsid w:val="00A26B4A"/>
    <w:rsid w:val="00A64943"/>
    <w:rsid w:val="00AA622B"/>
    <w:rsid w:val="00AC19EC"/>
    <w:rsid w:val="00AD0BF6"/>
    <w:rsid w:val="00AE145C"/>
    <w:rsid w:val="00B0732D"/>
    <w:rsid w:val="00B25E9E"/>
    <w:rsid w:val="00B650F7"/>
    <w:rsid w:val="00BC33C4"/>
    <w:rsid w:val="00BD0CE0"/>
    <w:rsid w:val="00C032BE"/>
    <w:rsid w:val="00C12906"/>
    <w:rsid w:val="00C50B8A"/>
    <w:rsid w:val="00C52EAE"/>
    <w:rsid w:val="00C54E78"/>
    <w:rsid w:val="00C61476"/>
    <w:rsid w:val="00C6191C"/>
    <w:rsid w:val="00C74488"/>
    <w:rsid w:val="00C83F8C"/>
    <w:rsid w:val="00C8542A"/>
    <w:rsid w:val="00C87195"/>
    <w:rsid w:val="00D10DEB"/>
    <w:rsid w:val="00D16BFF"/>
    <w:rsid w:val="00D3466E"/>
    <w:rsid w:val="00D61D72"/>
    <w:rsid w:val="00DD3329"/>
    <w:rsid w:val="00DE1038"/>
    <w:rsid w:val="00E04042"/>
    <w:rsid w:val="00E81FFA"/>
    <w:rsid w:val="00E83233"/>
    <w:rsid w:val="00E97CDB"/>
    <w:rsid w:val="00EA3811"/>
    <w:rsid w:val="00EC48CF"/>
    <w:rsid w:val="00EC7F3A"/>
    <w:rsid w:val="00ED019F"/>
    <w:rsid w:val="00ED0D10"/>
    <w:rsid w:val="00F14E35"/>
    <w:rsid w:val="00F42255"/>
    <w:rsid w:val="00F44396"/>
    <w:rsid w:val="00F51CA9"/>
    <w:rsid w:val="00FB1099"/>
    <w:rsid w:val="00FC414E"/>
    <w:rsid w:val="00FD273C"/>
    <w:rsid w:val="00FF4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C7"/>
    <w:rPr>
      <w:sz w:val="24"/>
      <w:szCs w:val="24"/>
    </w:rPr>
  </w:style>
  <w:style w:type="paragraph" w:styleId="Heading1">
    <w:name w:val="heading 1"/>
    <w:basedOn w:val="Normal"/>
    <w:next w:val="Normal"/>
    <w:qFormat/>
    <w:rsid w:val="00023FC7"/>
    <w:pPr>
      <w:keepNext/>
      <w:outlineLvl w:val="0"/>
    </w:pPr>
    <w:rPr>
      <w:b/>
      <w:bCs/>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23FC7"/>
    <w:pPr>
      <w:ind w:left="360"/>
    </w:pPr>
    <w:rPr>
      <w:sz w:val="22"/>
    </w:rPr>
  </w:style>
  <w:style w:type="paragraph" w:styleId="Footer">
    <w:name w:val="footer"/>
    <w:basedOn w:val="Normal"/>
    <w:link w:val="FooterChar"/>
    <w:semiHidden/>
    <w:rsid w:val="00023FC7"/>
    <w:pPr>
      <w:tabs>
        <w:tab w:val="center" w:pos="4320"/>
        <w:tab w:val="right" w:pos="8640"/>
      </w:tabs>
    </w:pPr>
  </w:style>
  <w:style w:type="character" w:styleId="PageNumber">
    <w:name w:val="page number"/>
    <w:basedOn w:val="DefaultParagraphFont"/>
    <w:semiHidden/>
    <w:rsid w:val="00023FC7"/>
  </w:style>
  <w:style w:type="paragraph" w:styleId="BalloonText">
    <w:name w:val="Balloon Text"/>
    <w:basedOn w:val="Normal"/>
    <w:link w:val="BalloonTextChar"/>
    <w:uiPriority w:val="99"/>
    <w:semiHidden/>
    <w:unhideWhenUsed/>
    <w:rsid w:val="003B6B42"/>
    <w:rPr>
      <w:rFonts w:ascii="Tahoma" w:hAnsi="Tahoma" w:cs="Tahoma"/>
      <w:sz w:val="16"/>
      <w:szCs w:val="16"/>
    </w:rPr>
  </w:style>
  <w:style w:type="character" w:customStyle="1" w:styleId="BalloonTextChar">
    <w:name w:val="Balloon Text Char"/>
    <w:basedOn w:val="DefaultParagraphFont"/>
    <w:link w:val="BalloonText"/>
    <w:uiPriority w:val="99"/>
    <w:semiHidden/>
    <w:rsid w:val="003B6B42"/>
    <w:rPr>
      <w:rFonts w:ascii="Tahoma" w:hAnsi="Tahoma" w:cs="Tahoma"/>
      <w:sz w:val="16"/>
      <w:szCs w:val="16"/>
    </w:rPr>
  </w:style>
  <w:style w:type="table" w:styleId="TableGrid">
    <w:name w:val="Table Grid"/>
    <w:basedOn w:val="TableNormal"/>
    <w:uiPriority w:val="59"/>
    <w:rsid w:val="00FD2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semiHidden/>
    <w:rsid w:val="00C61476"/>
    <w:rPr>
      <w:sz w:val="24"/>
      <w:szCs w:val="24"/>
    </w:rPr>
  </w:style>
  <w:style w:type="paragraph" w:styleId="ListParagraph">
    <w:name w:val="List Paragraph"/>
    <w:basedOn w:val="Normal"/>
    <w:uiPriority w:val="34"/>
    <w:qFormat/>
    <w:rsid w:val="001646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2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F0330-47EE-48D8-9C68-CAAA1440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Attachment (Sample)</vt:lpstr>
    </vt:vector>
  </TitlesOfParts>
  <Company>Office of the State Engineer</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(Sample)</dc:title>
  <dc:creator>asalazar</dc:creator>
  <cp:lastModifiedBy>John R Brown</cp:lastModifiedBy>
  <cp:revision>2</cp:revision>
  <cp:lastPrinted>2014-05-30T20:05:00Z</cp:lastPrinted>
  <dcterms:created xsi:type="dcterms:W3CDTF">2014-08-07T17:48:00Z</dcterms:created>
  <dcterms:modified xsi:type="dcterms:W3CDTF">2014-08-07T17:48:00Z</dcterms:modified>
</cp:coreProperties>
</file>